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01227" w14:textId="77777777" w:rsidR="00BD1D84" w:rsidRPr="00BD1D84" w:rsidRDefault="00BD1D84" w:rsidP="005F18C6">
      <w:pPr>
        <w:jc w:val="center"/>
        <w:rPr>
          <w:b/>
          <w:sz w:val="8"/>
          <w:szCs w:val="8"/>
          <w:u w:val="single"/>
        </w:rPr>
      </w:pPr>
    </w:p>
    <w:p w14:paraId="07F4623E" w14:textId="00810A9C" w:rsidR="00860565" w:rsidRPr="00A273E0" w:rsidRDefault="00F3278F" w:rsidP="00860565">
      <w:pPr>
        <w:pBdr>
          <w:top w:val="single" w:sz="4" w:space="5" w:color="auto"/>
          <w:left w:val="single" w:sz="4" w:space="4" w:color="auto"/>
          <w:bottom w:val="single" w:sz="4" w:space="1" w:color="auto"/>
          <w:right w:val="single" w:sz="4" w:space="4" w:color="auto"/>
        </w:pBdr>
        <w:spacing w:after="0"/>
        <w:jc w:val="center"/>
        <w:rPr>
          <w:b/>
        </w:rPr>
      </w:pPr>
      <w:r w:rsidRPr="00A273E0">
        <w:rPr>
          <w:b/>
        </w:rPr>
        <w:t>Recommandation</w:t>
      </w:r>
      <w:r w:rsidR="00986683" w:rsidRPr="00A273E0">
        <w:rPr>
          <w:b/>
        </w:rPr>
        <w:t>s</w:t>
      </w:r>
      <w:r w:rsidRPr="00A273E0">
        <w:rPr>
          <w:b/>
        </w:rPr>
        <w:t xml:space="preserve"> </w:t>
      </w:r>
      <w:r w:rsidR="00CE1538" w:rsidRPr="00A273E0">
        <w:rPr>
          <w:b/>
        </w:rPr>
        <w:t>de l’</w:t>
      </w:r>
      <w:proofErr w:type="spellStart"/>
      <w:r w:rsidR="00CE1538" w:rsidRPr="00A273E0">
        <w:rPr>
          <w:b/>
        </w:rPr>
        <w:t>Ansm</w:t>
      </w:r>
      <w:proofErr w:type="spellEnd"/>
      <w:r w:rsidR="00CE1538" w:rsidRPr="00A273E0">
        <w:rPr>
          <w:b/>
        </w:rPr>
        <w:t xml:space="preserve"> </w:t>
      </w:r>
      <w:r w:rsidR="00D72099" w:rsidRPr="00A273E0">
        <w:rPr>
          <w:b/>
        </w:rPr>
        <w:t>sur l’</w:t>
      </w:r>
      <w:r w:rsidRPr="00A273E0">
        <w:rPr>
          <w:b/>
        </w:rPr>
        <w:t>étiquetage des médicaments</w:t>
      </w:r>
      <w:r w:rsidR="009566A6" w:rsidRPr="00A273E0">
        <w:rPr>
          <w:b/>
        </w:rPr>
        <w:t> :</w:t>
      </w:r>
    </w:p>
    <w:p w14:paraId="6A228BCB" w14:textId="19F707D5" w:rsidR="00860565" w:rsidRPr="00DA132B" w:rsidRDefault="009566A6" w:rsidP="00860565">
      <w:pPr>
        <w:pBdr>
          <w:top w:val="single" w:sz="4" w:space="5" w:color="auto"/>
          <w:left w:val="single" w:sz="4" w:space="4" w:color="auto"/>
          <w:bottom w:val="single" w:sz="4" w:space="1" w:color="auto"/>
          <w:right w:val="single" w:sz="4" w:space="4" w:color="auto"/>
        </w:pBdr>
        <w:spacing w:after="0"/>
        <w:jc w:val="center"/>
        <w:rPr>
          <w:b/>
        </w:rPr>
      </w:pPr>
      <w:proofErr w:type="gramStart"/>
      <w:r w:rsidRPr="00A273E0">
        <w:rPr>
          <w:b/>
        </w:rPr>
        <w:t>v</w:t>
      </w:r>
      <w:r w:rsidR="00860565" w:rsidRPr="00A273E0">
        <w:rPr>
          <w:b/>
        </w:rPr>
        <w:t>ers</w:t>
      </w:r>
      <w:proofErr w:type="gramEnd"/>
      <w:r w:rsidR="00860565" w:rsidRPr="00A273E0">
        <w:rPr>
          <w:b/>
        </w:rPr>
        <w:t xml:space="preserve"> un paquet neutre pour le médicament ?</w:t>
      </w:r>
      <w:r w:rsidR="00860565">
        <w:rPr>
          <w:b/>
        </w:rPr>
        <w:t xml:space="preserve"> </w:t>
      </w:r>
    </w:p>
    <w:p w14:paraId="38A57758" w14:textId="77777777" w:rsidR="00CE1538" w:rsidRPr="004F5C36" w:rsidRDefault="00CE1538" w:rsidP="00CE1538">
      <w:pPr>
        <w:pBdr>
          <w:top w:val="single" w:sz="4" w:space="5" w:color="auto"/>
          <w:left w:val="single" w:sz="4" w:space="4" w:color="auto"/>
          <w:bottom w:val="single" w:sz="4" w:space="1" w:color="auto"/>
          <w:right w:val="single" w:sz="4" w:space="4" w:color="auto"/>
        </w:pBdr>
        <w:spacing w:after="0"/>
        <w:jc w:val="center"/>
        <w:rPr>
          <w:b/>
          <w:caps/>
          <w:color w:val="00B050"/>
          <w:sz w:val="8"/>
          <w:szCs w:val="8"/>
        </w:rPr>
      </w:pPr>
    </w:p>
    <w:p w14:paraId="3E9BE5FE" w14:textId="3C11DB27" w:rsidR="0086350C" w:rsidRPr="000B0A6E" w:rsidRDefault="001133C4" w:rsidP="00CE1538">
      <w:pPr>
        <w:pBdr>
          <w:top w:val="single" w:sz="4" w:space="5" w:color="auto"/>
          <w:left w:val="single" w:sz="4" w:space="4" w:color="auto"/>
          <w:bottom w:val="single" w:sz="4" w:space="1" w:color="auto"/>
          <w:right w:val="single" w:sz="4" w:space="4" w:color="auto"/>
        </w:pBdr>
        <w:spacing w:after="0"/>
        <w:jc w:val="center"/>
        <w:rPr>
          <w:b/>
          <w:caps/>
          <w:color w:val="FF0000"/>
        </w:rPr>
      </w:pPr>
      <w:r w:rsidRPr="00016009">
        <w:rPr>
          <w:b/>
          <w:caps/>
          <w:color w:val="00B050"/>
        </w:rPr>
        <w:t>L’A</w:t>
      </w:r>
      <w:r w:rsidR="00F3278F" w:rsidRPr="00016009">
        <w:rPr>
          <w:b/>
          <w:caps/>
          <w:color w:val="00B050"/>
        </w:rPr>
        <w:t>fipa</w:t>
      </w:r>
      <w:r w:rsidRPr="00016009">
        <w:rPr>
          <w:b/>
          <w:caps/>
          <w:color w:val="00B050"/>
        </w:rPr>
        <w:t xml:space="preserve"> </w:t>
      </w:r>
      <w:r w:rsidR="00301AB1">
        <w:rPr>
          <w:b/>
          <w:caps/>
          <w:color w:val="00B050"/>
        </w:rPr>
        <w:t xml:space="preserve">denonce une mesure contre-productive dangereuse </w:t>
      </w:r>
      <w:r w:rsidR="000B0A6E" w:rsidRPr="00DA132B">
        <w:rPr>
          <w:b/>
          <w:caps/>
          <w:color w:val="00B050"/>
        </w:rPr>
        <w:t>POUR LE</w:t>
      </w:r>
      <w:r w:rsidR="001F26BC">
        <w:rPr>
          <w:b/>
          <w:caps/>
          <w:color w:val="00B050"/>
        </w:rPr>
        <w:t>S</w:t>
      </w:r>
      <w:r w:rsidR="000B0A6E" w:rsidRPr="00DA132B">
        <w:rPr>
          <w:b/>
          <w:caps/>
          <w:color w:val="00B050"/>
        </w:rPr>
        <w:t xml:space="preserve"> PATIENT</w:t>
      </w:r>
      <w:r w:rsidR="001F26BC">
        <w:rPr>
          <w:b/>
          <w:caps/>
          <w:color w:val="00B050"/>
        </w:rPr>
        <w:t>S</w:t>
      </w:r>
      <w:r w:rsidR="00F3278F" w:rsidRPr="000B0A6E">
        <w:rPr>
          <w:b/>
          <w:caps/>
          <w:color w:val="FF0000"/>
        </w:rPr>
        <w:t xml:space="preserve"> </w:t>
      </w:r>
    </w:p>
    <w:p w14:paraId="7DD31CE8" w14:textId="77777777" w:rsidR="0086350C" w:rsidRPr="003E11FF" w:rsidRDefault="0086350C" w:rsidP="001133C4">
      <w:pPr>
        <w:spacing w:after="0"/>
        <w:jc w:val="both"/>
        <w:rPr>
          <w:b/>
          <w:sz w:val="8"/>
          <w:szCs w:val="8"/>
        </w:rPr>
      </w:pPr>
    </w:p>
    <w:p w14:paraId="1F7F9910" w14:textId="77777777" w:rsidR="00CD0270" w:rsidRPr="00AD4EE1" w:rsidRDefault="00CD0270" w:rsidP="001133C4">
      <w:pPr>
        <w:spacing w:after="0"/>
        <w:jc w:val="both"/>
        <w:rPr>
          <w:b/>
          <w:sz w:val="20"/>
          <w:szCs w:val="20"/>
        </w:rPr>
      </w:pPr>
    </w:p>
    <w:p w14:paraId="5BBE5847" w14:textId="511E795E" w:rsidR="00D72099" w:rsidRDefault="000A6ED2" w:rsidP="0037646A">
      <w:pPr>
        <w:spacing w:after="0"/>
        <w:jc w:val="both"/>
      </w:pPr>
      <w:r w:rsidRPr="00FB3533">
        <w:rPr>
          <w:b/>
        </w:rPr>
        <w:t>Paris, le</w:t>
      </w:r>
      <w:r w:rsidR="00CE1538" w:rsidRPr="00FB3533">
        <w:rPr>
          <w:b/>
        </w:rPr>
        <w:t xml:space="preserve"> </w:t>
      </w:r>
      <w:r w:rsidR="005F60F9">
        <w:rPr>
          <w:b/>
        </w:rPr>
        <w:t>31 mai</w:t>
      </w:r>
      <w:r w:rsidR="001F26BC">
        <w:rPr>
          <w:b/>
        </w:rPr>
        <w:t xml:space="preserve"> </w:t>
      </w:r>
      <w:r w:rsidR="00F3278F" w:rsidRPr="00FB3533">
        <w:rPr>
          <w:b/>
        </w:rPr>
        <w:t>2018</w:t>
      </w:r>
      <w:r w:rsidR="004B6A48" w:rsidRPr="00FB3533">
        <w:rPr>
          <w:b/>
        </w:rPr>
        <w:t xml:space="preserve"> -</w:t>
      </w:r>
      <w:r w:rsidR="004B6A48" w:rsidRPr="00775A6E">
        <w:t xml:space="preserve"> </w:t>
      </w:r>
      <w:r w:rsidR="004F00A3" w:rsidRPr="00775A6E">
        <w:t xml:space="preserve">L’Afipa </w:t>
      </w:r>
      <w:r w:rsidR="001133C4" w:rsidRPr="00775A6E">
        <w:t xml:space="preserve">(Association française de l’industrie pharmaceutique pour une </w:t>
      </w:r>
      <w:r w:rsidR="001133C4" w:rsidRPr="002D4A2A">
        <w:t xml:space="preserve">automédication responsable) </w:t>
      </w:r>
      <w:r w:rsidR="00C2026D">
        <w:t>réagit suite</w:t>
      </w:r>
      <w:r w:rsidR="004F00A3" w:rsidRPr="002D4A2A">
        <w:t xml:space="preserve"> </w:t>
      </w:r>
      <w:r w:rsidR="00C2026D">
        <w:t>à</w:t>
      </w:r>
      <w:r w:rsidR="004F00A3" w:rsidRPr="002D4A2A">
        <w:t xml:space="preserve"> la </w:t>
      </w:r>
      <w:r w:rsidR="00F3278F" w:rsidRPr="002D4A2A">
        <w:t xml:space="preserve">publication </w:t>
      </w:r>
      <w:r w:rsidR="00C2026D">
        <w:t xml:space="preserve">le 28 février </w:t>
      </w:r>
      <w:r w:rsidR="00F3278F" w:rsidRPr="002D4A2A">
        <w:t>par l’</w:t>
      </w:r>
      <w:proofErr w:type="spellStart"/>
      <w:r w:rsidR="00F3278F" w:rsidRPr="002D4A2A">
        <w:t>Ansm</w:t>
      </w:r>
      <w:proofErr w:type="spellEnd"/>
      <w:r w:rsidR="00F3278F" w:rsidRPr="002D4A2A">
        <w:t xml:space="preserve"> d’une recommandation visant à standardiser les conditionnements </w:t>
      </w:r>
      <w:r w:rsidR="00FE1C89" w:rsidRPr="002D4A2A">
        <w:t>de</w:t>
      </w:r>
      <w:r w:rsidR="005A40D6">
        <w:t xml:space="preserve"> certains</w:t>
      </w:r>
      <w:r w:rsidR="00FE1C89" w:rsidRPr="002D4A2A">
        <w:t xml:space="preserve"> médicaments</w:t>
      </w:r>
      <w:r w:rsidR="00FE1C89" w:rsidRPr="00DA132B">
        <w:t xml:space="preserve">. </w:t>
      </w:r>
      <w:r w:rsidR="0037646A" w:rsidRPr="00DA132B">
        <w:t xml:space="preserve">L’Association </w:t>
      </w:r>
      <w:r w:rsidR="00D72099" w:rsidRPr="00DA132B">
        <w:t>me</w:t>
      </w:r>
      <w:r w:rsidR="00DA132B" w:rsidRPr="00DA132B">
        <w:t>t</w:t>
      </w:r>
      <w:r w:rsidR="00D72099" w:rsidRPr="00DA132B">
        <w:t xml:space="preserve"> en garde contre cette mesure</w:t>
      </w:r>
      <w:r w:rsidR="002D4A2A" w:rsidRPr="00DA132B">
        <w:t>,</w:t>
      </w:r>
      <w:r w:rsidR="00D72099" w:rsidRPr="00DA132B">
        <w:t xml:space="preserve"> </w:t>
      </w:r>
      <w:r w:rsidR="002D4A2A" w:rsidRPr="00DA132B">
        <w:t xml:space="preserve">source de confusion pour les patients, </w:t>
      </w:r>
      <w:r w:rsidR="00B87C2F" w:rsidRPr="00DA132B">
        <w:t xml:space="preserve">et qui n’est </w:t>
      </w:r>
      <w:r w:rsidR="002D4A2A" w:rsidRPr="00DA132B">
        <w:t>soutenue par aucune donnée objective</w:t>
      </w:r>
      <w:r w:rsidR="000C08D3">
        <w:t xml:space="preserve">, en </w:t>
      </w:r>
      <w:r w:rsidR="000C08D3" w:rsidRPr="00A273E0">
        <w:t>particulier</w:t>
      </w:r>
      <w:r w:rsidR="00860565" w:rsidRPr="00A273E0">
        <w:t xml:space="preserve"> concernant les médicaments d’automédication</w:t>
      </w:r>
      <w:r w:rsidR="00F24395">
        <w:rPr>
          <w:rStyle w:val="Appelnotedebasdep"/>
        </w:rPr>
        <w:footnoteReference w:id="1"/>
      </w:r>
      <w:r w:rsidR="0001086D" w:rsidRPr="00A273E0">
        <w:t>.</w:t>
      </w:r>
      <w:r w:rsidR="002D4A2A" w:rsidRPr="00A273E0">
        <w:t xml:space="preserve"> </w:t>
      </w:r>
      <w:r w:rsidR="0001086D" w:rsidRPr="00A273E0">
        <w:t>Elle</w:t>
      </w:r>
      <w:r w:rsidR="001E4552" w:rsidRPr="00DA132B">
        <w:t xml:space="preserve"> </w:t>
      </w:r>
      <w:r w:rsidR="004B3EFB">
        <w:t>alerte sur le</w:t>
      </w:r>
      <w:r w:rsidR="004B3EFB" w:rsidRPr="00DA132B">
        <w:t xml:space="preserve"> </w:t>
      </w:r>
      <w:r w:rsidR="004B3EFB">
        <w:t xml:space="preserve">fait </w:t>
      </w:r>
      <w:r w:rsidR="0001086D" w:rsidRPr="00DA132B">
        <w:t>que</w:t>
      </w:r>
      <w:r w:rsidR="001E4552" w:rsidRPr="00DA132B">
        <w:t xml:space="preserve"> les accidents susceptibles d’être causés par cette nouvelle recommandation</w:t>
      </w:r>
      <w:r w:rsidR="00000593">
        <w:t xml:space="preserve"> –</w:t>
      </w:r>
      <w:r w:rsidR="00BC5BD0">
        <w:t xml:space="preserve"> ce qu</w:t>
      </w:r>
      <w:r w:rsidR="0023324E">
        <w:t xml:space="preserve">e </w:t>
      </w:r>
      <w:r w:rsidR="0023324E" w:rsidRPr="0023324E">
        <w:t>démontre</w:t>
      </w:r>
      <w:r w:rsidR="00986389" w:rsidRPr="0023324E">
        <w:t xml:space="preserve"> une</w:t>
      </w:r>
      <w:r w:rsidR="00BC5BD0" w:rsidRPr="0023324E">
        <w:t xml:space="preserve"> </w:t>
      </w:r>
      <w:r w:rsidR="00000593" w:rsidRPr="0023324E">
        <w:t xml:space="preserve">étude </w:t>
      </w:r>
      <w:r w:rsidR="00986389" w:rsidRPr="0023324E">
        <w:t xml:space="preserve">réalisée en avril 2018 </w:t>
      </w:r>
      <w:r w:rsidR="00000593" w:rsidRPr="0023324E">
        <w:t xml:space="preserve">- </w:t>
      </w:r>
      <w:r w:rsidR="001E4552" w:rsidRPr="0023324E">
        <w:t xml:space="preserve">seront </w:t>
      </w:r>
      <w:r w:rsidR="001E4552" w:rsidRPr="00DA132B">
        <w:t>de la responsabilité exclusive des autorités qui l’ont endossée.</w:t>
      </w:r>
    </w:p>
    <w:p w14:paraId="2D0D13E4" w14:textId="77777777" w:rsidR="007A28C1" w:rsidRDefault="007A28C1" w:rsidP="0037646A">
      <w:pPr>
        <w:spacing w:after="0"/>
        <w:jc w:val="both"/>
      </w:pPr>
    </w:p>
    <w:p w14:paraId="4651B2B8" w14:textId="6BB346AE" w:rsidR="004B41D5" w:rsidRPr="004B41D5" w:rsidRDefault="004B41D5" w:rsidP="004B41D5">
      <w:pPr>
        <w:spacing w:after="60"/>
        <w:jc w:val="both"/>
        <w:rPr>
          <w:b/>
          <w:u w:val="single"/>
        </w:rPr>
      </w:pPr>
      <w:r w:rsidRPr="004B41D5">
        <w:rPr>
          <w:b/>
          <w:u w:val="single"/>
        </w:rPr>
        <w:t xml:space="preserve">Une mesure </w:t>
      </w:r>
      <w:r w:rsidR="001F26BC">
        <w:rPr>
          <w:b/>
          <w:u w:val="single"/>
        </w:rPr>
        <w:t xml:space="preserve">contre-productive </w:t>
      </w:r>
      <w:r w:rsidRPr="004B41D5">
        <w:rPr>
          <w:b/>
          <w:u w:val="single"/>
        </w:rPr>
        <w:t xml:space="preserve">qui </w:t>
      </w:r>
      <w:r w:rsidR="00986683">
        <w:rPr>
          <w:b/>
          <w:u w:val="single"/>
        </w:rPr>
        <w:t xml:space="preserve">augmente </w:t>
      </w:r>
      <w:r>
        <w:rPr>
          <w:b/>
          <w:u w:val="single"/>
        </w:rPr>
        <w:t>le risque de confusion au lieu de le restreindre</w:t>
      </w:r>
    </w:p>
    <w:p w14:paraId="42BAC614" w14:textId="77777777" w:rsidR="00C17479" w:rsidRDefault="00C17479" w:rsidP="00AC4F40">
      <w:pPr>
        <w:spacing w:after="60"/>
        <w:jc w:val="both"/>
        <w:sectPr w:rsidR="00C17479" w:rsidSect="00C1514A">
          <w:headerReference w:type="default" r:id="rId7"/>
          <w:pgSz w:w="11906" w:h="16838"/>
          <w:pgMar w:top="1418" w:right="1021" w:bottom="1418" w:left="1021" w:header="709" w:footer="709" w:gutter="0"/>
          <w:cols w:space="708"/>
          <w:docGrid w:linePitch="360"/>
        </w:sectPr>
      </w:pPr>
    </w:p>
    <w:p w14:paraId="25AF2F30" w14:textId="5547DE8D" w:rsidR="00000593" w:rsidRDefault="00C2026D" w:rsidP="00AC4F40">
      <w:pPr>
        <w:spacing w:after="60"/>
        <w:jc w:val="both"/>
      </w:pPr>
      <w:r>
        <w:t xml:space="preserve">Cette recommandation va avoir un très fort impact sur les conditionnements de médicaments d’automédication en rendant moins visible le nom de marque au profit de la dénomination commune des substances actives. </w:t>
      </w:r>
      <w:r w:rsidR="00C17479">
        <w:t xml:space="preserve">En effet, les exemples de mise en application réalisés par plusieurs laboratoires pharmaceutiques font clairement prendre conscience de la </w:t>
      </w:r>
      <w:r w:rsidR="00C17479" w:rsidRPr="005A7BDC">
        <w:rPr>
          <w:b/>
        </w:rPr>
        <w:t>moindre lisibilité</w:t>
      </w:r>
      <w:r w:rsidR="00C17479">
        <w:t xml:space="preserve"> et de la </w:t>
      </w:r>
      <w:r w:rsidR="00C17479" w:rsidRPr="005A7BDC">
        <w:rPr>
          <w:b/>
        </w:rPr>
        <w:t>ressemblance entre les packs</w:t>
      </w:r>
      <w:r w:rsidR="00C17479">
        <w:t xml:space="preserve"> qui en résulteraient</w:t>
      </w:r>
      <w:r w:rsidR="007D665C">
        <w:t>. A noter également</w:t>
      </w:r>
      <w:r w:rsidR="00000593">
        <w:t xml:space="preserve"> l’augmentation de taille de</w:t>
      </w:r>
      <w:r w:rsidR="007D665C">
        <w:t xml:space="preserve"> certains</w:t>
      </w:r>
      <w:r w:rsidR="00000593">
        <w:t xml:space="preserve"> conditionnements</w:t>
      </w:r>
      <w:r w:rsidR="007D665C">
        <w:t>, rendue nécessaire par l’ajout de mentions non prévues au Code de la Santé Publique</w:t>
      </w:r>
      <w:r w:rsidR="007A28C1">
        <w:t xml:space="preserve"> pour les médicaments d’automédication</w:t>
      </w:r>
      <w:r w:rsidR="007D665C">
        <w:t xml:space="preserve">, et par l’imposition d’une taille minimale pour certains éléments. Cette modification ne sera donc pas neutre pour </w:t>
      </w:r>
      <w:r w:rsidR="007D665C" w:rsidRPr="009B0B45">
        <w:t>l’environnement (</w:t>
      </w:r>
      <w:r w:rsidR="007B4DD9" w:rsidRPr="009B0B45">
        <w:t xml:space="preserve">plus de </w:t>
      </w:r>
      <w:r w:rsidR="007D665C" w:rsidRPr="009B0B45">
        <w:t xml:space="preserve">carton, </w:t>
      </w:r>
      <w:r w:rsidR="007B4DD9" w:rsidRPr="009B0B45">
        <w:t xml:space="preserve">plus de </w:t>
      </w:r>
      <w:r w:rsidR="007D665C" w:rsidRPr="009B0B45">
        <w:t xml:space="preserve">transport </w:t>
      </w:r>
      <w:r w:rsidR="007B4DD9" w:rsidRPr="009B0B45">
        <w:t>avec des</w:t>
      </w:r>
      <w:r w:rsidR="007D665C" w:rsidRPr="009B0B45">
        <w:t xml:space="preserve"> packs plus volumineux…) et </w:t>
      </w:r>
      <w:r w:rsidR="007D665C">
        <w:t xml:space="preserve">aura </w:t>
      </w:r>
      <w:r w:rsidR="00891F42">
        <w:t xml:space="preserve">également </w:t>
      </w:r>
      <w:r w:rsidR="007D665C">
        <w:t>un impact sur l</w:t>
      </w:r>
      <w:r w:rsidR="007E079A">
        <w:t xml:space="preserve">’organisation </w:t>
      </w:r>
      <w:r w:rsidR="007D665C">
        <w:t xml:space="preserve">des </w:t>
      </w:r>
      <w:r w:rsidR="007E079A">
        <w:t>officines (</w:t>
      </w:r>
      <w:r w:rsidR="007D665C">
        <w:t>robots pharmaceutiques</w:t>
      </w:r>
      <w:r w:rsidR="007E079A">
        <w:t>…)</w:t>
      </w:r>
      <w:r w:rsidR="007D665C">
        <w:t xml:space="preserve">.  </w:t>
      </w:r>
      <w:r w:rsidR="00000593">
        <w:t xml:space="preserve"> </w:t>
      </w:r>
      <w:r w:rsidR="00C17479">
        <w:t xml:space="preserve"> </w:t>
      </w:r>
    </w:p>
    <w:p w14:paraId="4D354479" w14:textId="42C405F4" w:rsidR="00C17479" w:rsidRDefault="00C17479" w:rsidP="00AC4F40">
      <w:pPr>
        <w:spacing w:after="60"/>
        <w:jc w:val="both"/>
        <w:sectPr w:rsidR="00C17479" w:rsidSect="009B0B45">
          <w:type w:val="continuous"/>
          <w:pgSz w:w="11906" w:h="16838"/>
          <w:pgMar w:top="1418" w:right="1021" w:bottom="1134" w:left="1021" w:header="709" w:footer="709" w:gutter="0"/>
          <w:cols w:space="708"/>
          <w:docGrid w:linePitch="360"/>
        </w:sectPr>
      </w:pPr>
      <w:r>
        <w:rPr>
          <w:i/>
          <w:noProof/>
          <w:lang w:eastAsia="fr-FR"/>
        </w:rPr>
        <w:drawing>
          <wp:inline distT="0" distB="0" distL="0" distR="0" wp14:anchorId="368CA564" wp14:editId="123C8D29">
            <wp:extent cx="3895725" cy="2597151"/>
            <wp:effectExtent l="0" t="0" r="0" b="0"/>
            <wp:docPr id="2" name="Image 2" descr="C:\Users\sandrine.maglione\Desktop\DU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ine.maglione\Desktop\DUO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2213" cy="2601476"/>
                    </a:xfrm>
                    <a:prstGeom prst="rect">
                      <a:avLst/>
                    </a:prstGeom>
                    <a:noFill/>
                    <a:ln>
                      <a:noFill/>
                    </a:ln>
                  </pic:spPr>
                </pic:pic>
              </a:graphicData>
            </a:graphic>
          </wp:inline>
        </w:drawing>
      </w:r>
    </w:p>
    <w:p w14:paraId="14EC2A94" w14:textId="77777777" w:rsidR="00000593" w:rsidRDefault="00000593" w:rsidP="00AC4F40">
      <w:pPr>
        <w:spacing w:after="60"/>
        <w:jc w:val="both"/>
        <w:sectPr w:rsidR="00000593" w:rsidSect="00C17479">
          <w:type w:val="continuous"/>
          <w:pgSz w:w="11906" w:h="16838"/>
          <w:pgMar w:top="1418" w:right="1021" w:bottom="1134" w:left="1021" w:header="709" w:footer="709" w:gutter="0"/>
          <w:cols w:space="708"/>
          <w:docGrid w:linePitch="360"/>
        </w:sectPr>
      </w:pPr>
    </w:p>
    <w:p w14:paraId="194C7D0A" w14:textId="53FCE023" w:rsidR="004B41D5" w:rsidRDefault="00D129E9" w:rsidP="00AC4F40">
      <w:pPr>
        <w:spacing w:after="60"/>
        <w:jc w:val="both"/>
      </w:pPr>
      <w:r>
        <w:t>L’Afipa</w:t>
      </w:r>
      <w:r w:rsidR="00FE1C89" w:rsidRPr="00ED5A70">
        <w:t xml:space="preserve"> souhaite attirer l’attention de l’</w:t>
      </w:r>
      <w:proofErr w:type="spellStart"/>
      <w:r w:rsidR="00FE1C89" w:rsidRPr="00ED5A70">
        <w:t>Ansm</w:t>
      </w:r>
      <w:proofErr w:type="spellEnd"/>
      <w:r w:rsidR="00FE1C89" w:rsidRPr="00ED5A70">
        <w:t xml:space="preserve"> et du Ministère de la santé sur les </w:t>
      </w:r>
      <w:r w:rsidR="00FE1C89" w:rsidRPr="00A03C8B">
        <w:rPr>
          <w:b/>
        </w:rPr>
        <w:t xml:space="preserve">risques de confusion </w:t>
      </w:r>
      <w:r w:rsidR="00612902" w:rsidRPr="00A03C8B">
        <w:rPr>
          <w:b/>
        </w:rPr>
        <w:t>entre les différents conditionnement</w:t>
      </w:r>
      <w:r w:rsidR="004A410C" w:rsidRPr="00A03C8B">
        <w:rPr>
          <w:b/>
        </w:rPr>
        <w:t>s</w:t>
      </w:r>
      <w:r w:rsidR="00612902" w:rsidRPr="00A03C8B">
        <w:rPr>
          <w:b/>
        </w:rPr>
        <w:t xml:space="preserve"> de médicaments </w:t>
      </w:r>
      <w:r w:rsidR="008436A8">
        <w:rPr>
          <w:b/>
        </w:rPr>
        <w:t>découlant de</w:t>
      </w:r>
      <w:r w:rsidR="00016009" w:rsidRPr="00A03C8B">
        <w:rPr>
          <w:b/>
        </w:rPr>
        <w:t xml:space="preserve"> cette nouvelle mesure</w:t>
      </w:r>
      <w:r w:rsidR="00FE1C89" w:rsidRPr="00ED5A70">
        <w:t xml:space="preserve">. </w:t>
      </w:r>
      <w:r w:rsidR="000F32BD">
        <w:t>C</w:t>
      </w:r>
      <w:r w:rsidR="004A410C">
        <w:t xml:space="preserve">ette recommandation ne </w:t>
      </w:r>
      <w:r w:rsidR="004A410C">
        <w:lastRenderedPageBreak/>
        <w:t>servir</w:t>
      </w:r>
      <w:r w:rsidR="00F0619A">
        <w:t>a pas</w:t>
      </w:r>
      <w:r w:rsidR="004A410C">
        <w:t xml:space="preserve"> l’objectif annoncé par l’</w:t>
      </w:r>
      <w:proofErr w:type="spellStart"/>
      <w:r w:rsidR="004A410C">
        <w:t>Ansm</w:t>
      </w:r>
      <w:proofErr w:type="spellEnd"/>
      <w:r w:rsidR="004A410C">
        <w:t xml:space="preserve"> de réduction des erreurs </w:t>
      </w:r>
      <w:r w:rsidR="00073412">
        <w:t>médicamenteuses</w:t>
      </w:r>
      <w:r w:rsidR="00986683">
        <w:t xml:space="preserve">, mais </w:t>
      </w:r>
      <w:r w:rsidR="00A273E0">
        <w:t>entrainer</w:t>
      </w:r>
      <w:r w:rsidR="00F0619A">
        <w:t>a</w:t>
      </w:r>
      <w:r w:rsidR="00986683">
        <w:t xml:space="preserve"> des effets contraires préjudiciables à la santé des patients</w:t>
      </w:r>
      <w:r w:rsidR="00A273E0">
        <w:t>.</w:t>
      </w:r>
      <w:r w:rsidR="00860565">
        <w:rPr>
          <w:color w:val="FF0000"/>
        </w:rPr>
        <w:t xml:space="preserve"> </w:t>
      </w:r>
      <w:r w:rsidR="004B41D5">
        <w:t>L’Afipa s’</w:t>
      </w:r>
      <w:r w:rsidR="006835C3">
        <w:t xml:space="preserve">inquiète </w:t>
      </w:r>
      <w:r w:rsidR="004B41D5">
        <w:t>d’autant plus de cette nouvelle mesure que le risque d’erreur en lien avec la présentation actuelle des médicaments d’automédication</w:t>
      </w:r>
      <w:r w:rsidR="00986683">
        <w:t>, qui a fondé cette nouvelle mesure,</w:t>
      </w:r>
      <w:r w:rsidR="008436A8">
        <w:t xml:space="preserve"> </w:t>
      </w:r>
      <w:r w:rsidR="004B41D5">
        <w:t>n’a pas été documenté</w:t>
      </w:r>
      <w:r w:rsidR="006835C3">
        <w:t xml:space="preserve"> par l’</w:t>
      </w:r>
      <w:proofErr w:type="spellStart"/>
      <w:r w:rsidR="006835C3">
        <w:t>Ansm</w:t>
      </w:r>
      <w:proofErr w:type="spellEnd"/>
      <w:r w:rsidR="004B41D5">
        <w:t xml:space="preserve">. </w:t>
      </w:r>
    </w:p>
    <w:p w14:paraId="3E916EE0" w14:textId="77777777" w:rsidR="00480BA1" w:rsidRDefault="00480BA1" w:rsidP="00AC4F40">
      <w:pPr>
        <w:spacing w:after="60"/>
        <w:jc w:val="both"/>
      </w:pPr>
    </w:p>
    <w:p w14:paraId="6F58F6F7" w14:textId="308E481F" w:rsidR="007A28C1" w:rsidRPr="009B0B45" w:rsidRDefault="00BC5BD0" w:rsidP="007A28C1">
      <w:pPr>
        <w:spacing w:after="0"/>
        <w:jc w:val="both"/>
        <w:rPr>
          <w:b/>
          <w:u w:val="single"/>
        </w:rPr>
      </w:pPr>
      <w:r w:rsidRPr="00E07811">
        <w:rPr>
          <w:b/>
          <w:u w:val="single"/>
        </w:rPr>
        <w:t>Une démarche</w:t>
      </w:r>
      <w:r>
        <w:rPr>
          <w:b/>
          <w:u w:val="single"/>
        </w:rPr>
        <w:t xml:space="preserve"> fondée sur des chiffres biaisés, </w:t>
      </w:r>
      <w:r w:rsidRPr="00E07811">
        <w:rPr>
          <w:b/>
          <w:u w:val="single"/>
        </w:rPr>
        <w:t xml:space="preserve">sans </w:t>
      </w:r>
      <w:r>
        <w:rPr>
          <w:b/>
          <w:u w:val="single"/>
        </w:rPr>
        <w:t>justification</w:t>
      </w:r>
      <w:r w:rsidR="007A28C1" w:rsidRPr="009B0B45">
        <w:rPr>
          <w:b/>
          <w:u w:val="single"/>
        </w:rPr>
        <w:t xml:space="preserve"> scientifique</w:t>
      </w:r>
    </w:p>
    <w:p w14:paraId="2BF3F61C" w14:textId="2D65A7DB" w:rsidR="00BC5BD0" w:rsidRDefault="007A28C1" w:rsidP="007A28C1">
      <w:pPr>
        <w:spacing w:after="0"/>
        <w:jc w:val="both"/>
      </w:pPr>
      <w:r w:rsidRPr="009B0B45">
        <w:t xml:space="preserve">L’Afipa </w:t>
      </w:r>
      <w:r w:rsidR="00891F42" w:rsidRPr="009B0B45">
        <w:t>dénonce</w:t>
      </w:r>
      <w:r w:rsidRPr="009B0B45">
        <w:t xml:space="preserve"> l’absence d</w:t>
      </w:r>
      <w:r w:rsidR="00692976" w:rsidRPr="009B0B45">
        <w:t>’éléments</w:t>
      </w:r>
      <w:r w:rsidRPr="009B0B45">
        <w:t xml:space="preserve"> tangibles</w:t>
      </w:r>
      <w:r w:rsidR="00891F42" w:rsidRPr="009B0B45">
        <w:t xml:space="preserve"> </w:t>
      </w:r>
      <w:r w:rsidR="00692976" w:rsidRPr="009B0B45">
        <w:t>pour appuyer cette recommandation et pour évaluer son impact</w:t>
      </w:r>
      <w:r w:rsidR="00891F42" w:rsidRPr="009B0B45">
        <w:t xml:space="preserve"> puisqu’a</w:t>
      </w:r>
      <w:r w:rsidR="00D74797" w:rsidRPr="009B0B45">
        <w:t xml:space="preserve">ucun chiffre </w:t>
      </w:r>
      <w:r w:rsidR="00891F42" w:rsidRPr="009B0B45">
        <w:t>ni</w:t>
      </w:r>
      <w:r w:rsidR="00692976" w:rsidRPr="009B0B45">
        <w:t xml:space="preserve"> aucune analyse des erreurs médicamenteuses</w:t>
      </w:r>
      <w:r w:rsidR="00891F42" w:rsidRPr="009B0B45">
        <w:t xml:space="preserve"> liées directement à l’automédication</w:t>
      </w:r>
      <w:r w:rsidR="00692976" w:rsidRPr="009B0B45">
        <w:t xml:space="preserve"> </w:t>
      </w:r>
      <w:r w:rsidR="00891F42" w:rsidRPr="009B0B45">
        <w:t>n’ont été partagé</w:t>
      </w:r>
      <w:r w:rsidR="000F32BD">
        <w:t>s</w:t>
      </w:r>
      <w:r w:rsidR="00891F42" w:rsidRPr="009B0B45">
        <w:t xml:space="preserve"> par l’</w:t>
      </w:r>
      <w:proofErr w:type="spellStart"/>
      <w:r w:rsidR="00D74797" w:rsidRPr="009B0B45">
        <w:t>Ansm</w:t>
      </w:r>
      <w:proofErr w:type="spellEnd"/>
      <w:r w:rsidR="00891F42" w:rsidRPr="009B0B45">
        <w:t xml:space="preserve"> pour justifier cette </w:t>
      </w:r>
      <w:r w:rsidR="008009CC" w:rsidRPr="009B0B45">
        <w:t>démarche</w:t>
      </w:r>
      <w:r w:rsidR="00D74797" w:rsidRPr="009B0B45">
        <w:t xml:space="preserve">. </w:t>
      </w:r>
      <w:r w:rsidR="00891F42" w:rsidRPr="009B0B45">
        <w:t>En effet, l’</w:t>
      </w:r>
      <w:proofErr w:type="spellStart"/>
      <w:r w:rsidR="00891F42" w:rsidRPr="009B0B45">
        <w:t>Ansm</w:t>
      </w:r>
      <w:proofErr w:type="spellEnd"/>
      <w:r w:rsidR="00891F42" w:rsidRPr="009B0B45">
        <w:t xml:space="preserve"> a fait part d’un chiffre de </w:t>
      </w:r>
      <w:r w:rsidR="00BC5BD0" w:rsidRPr="009B0B45">
        <w:t xml:space="preserve">30% d’erreurs </w:t>
      </w:r>
      <w:r w:rsidR="00BC5BD0">
        <w:t>médicamenteuses présenté</w:t>
      </w:r>
      <w:r w:rsidR="00363D3C">
        <w:t>e</w:t>
      </w:r>
      <w:r w:rsidR="00BC5BD0">
        <w:t xml:space="preserve">s en lien avec les conditionnements </w:t>
      </w:r>
      <w:r w:rsidR="00891F42">
        <w:t xml:space="preserve">sans indiquer </w:t>
      </w:r>
      <w:r w:rsidR="00D74797">
        <w:t>la p</w:t>
      </w:r>
      <w:r w:rsidR="00692976">
        <w:t>art</w:t>
      </w:r>
      <w:r w:rsidR="00D74797">
        <w:t xml:space="preserve"> de ces erreurs commises en ville ou à l’hôpital ou</w:t>
      </w:r>
      <w:r w:rsidR="008009CC">
        <w:t xml:space="preserve"> même</w:t>
      </w:r>
      <w:r w:rsidR="00363D3C">
        <w:t xml:space="preserve"> sans</w:t>
      </w:r>
      <w:r w:rsidR="00D74797">
        <w:t xml:space="preserve"> connaître les circonstances et le cadre de survenue de ces </w:t>
      </w:r>
      <w:r w:rsidR="00692976">
        <w:t>signalements</w:t>
      </w:r>
      <w:r w:rsidR="00BC5BD0">
        <w:t>.</w:t>
      </w:r>
      <w:r w:rsidR="00E14B20">
        <w:t xml:space="preserve"> </w:t>
      </w:r>
    </w:p>
    <w:p w14:paraId="42067066" w14:textId="31A91153" w:rsidR="00227A8D" w:rsidRPr="009B0B45" w:rsidRDefault="008009CC" w:rsidP="008009CC">
      <w:pPr>
        <w:spacing w:after="0"/>
        <w:jc w:val="both"/>
      </w:pPr>
      <w:r w:rsidRPr="009B0B45">
        <w:t>Si l’on se réfère au</w:t>
      </w:r>
      <w:r w:rsidR="00227A8D" w:rsidRPr="009B0B45">
        <w:t xml:space="preserve"> Bulletin Vigilances d’octobre 2016 de l’</w:t>
      </w:r>
      <w:proofErr w:type="spellStart"/>
      <w:r w:rsidR="00227A8D" w:rsidRPr="009B0B45">
        <w:t>Ansm</w:t>
      </w:r>
      <w:proofErr w:type="spellEnd"/>
      <w:r w:rsidR="00227A8D" w:rsidRPr="009B0B45">
        <w:t>,</w:t>
      </w:r>
      <w:r w:rsidRPr="009B0B45">
        <w:t xml:space="preserve"> sur les 186 </w:t>
      </w:r>
      <w:r w:rsidR="004A3071">
        <w:t xml:space="preserve">types de confusion recensés </w:t>
      </w:r>
      <w:r w:rsidRPr="009B0B45">
        <w:t>depuis 2005, seuls</w:t>
      </w:r>
      <w:r w:rsidR="00BD1005" w:rsidRPr="009B0B45">
        <w:t xml:space="preserve"> 5 </w:t>
      </w:r>
      <w:r w:rsidRPr="009B0B45">
        <w:t>sont dus à des</w:t>
      </w:r>
      <w:r w:rsidR="00BD1005" w:rsidRPr="009B0B45">
        <w:t xml:space="preserve"> </w:t>
      </w:r>
      <w:r w:rsidR="008C7DBB">
        <w:t xml:space="preserve">types de </w:t>
      </w:r>
      <w:r w:rsidR="00BD1005" w:rsidRPr="009B0B45">
        <w:t>confusion</w:t>
      </w:r>
      <w:r w:rsidRPr="009B0B45">
        <w:t>s</w:t>
      </w:r>
      <w:r w:rsidR="00BD1005" w:rsidRPr="009B0B45">
        <w:t xml:space="preserve"> de médicaments d’automédication par voie orale entre eux</w:t>
      </w:r>
      <w:r w:rsidRPr="009B0B45">
        <w:t>. Quand on sait que les médicaments d’automédication représentent un médicament vendu sur sept</w:t>
      </w:r>
      <w:r w:rsidR="000F32BD">
        <w:t xml:space="preserve"> à l’officine</w:t>
      </w:r>
      <w:r w:rsidRPr="009B0B45">
        <w:t>, ce taux</w:t>
      </w:r>
      <w:r w:rsidR="00BC5BD0" w:rsidRPr="009B0B45">
        <w:t xml:space="preserve"> </w:t>
      </w:r>
      <w:r w:rsidRPr="009B0B45">
        <w:t xml:space="preserve">extrêmement </w:t>
      </w:r>
      <w:r w:rsidR="00BC5BD0" w:rsidRPr="009B0B45">
        <w:t>bas</w:t>
      </w:r>
      <w:r w:rsidR="00692976" w:rsidRPr="009B0B45">
        <w:t xml:space="preserve"> </w:t>
      </w:r>
      <w:r w:rsidRPr="009B0B45">
        <w:t xml:space="preserve">démontre </w:t>
      </w:r>
      <w:r w:rsidR="009506AE" w:rsidRPr="009B0B45">
        <w:t xml:space="preserve">l’incohérence de cette mesure qui ne se justifie pas </w:t>
      </w:r>
      <w:r w:rsidR="004A3071">
        <w:t>au vu</w:t>
      </w:r>
      <w:r w:rsidR="009506AE" w:rsidRPr="009B0B45">
        <w:t xml:space="preserve"> de ces chiffre</w:t>
      </w:r>
      <w:r w:rsidR="007B4DD9" w:rsidRPr="009B0B45">
        <w:t>s</w:t>
      </w:r>
      <w:r w:rsidR="009506AE" w:rsidRPr="009B0B45">
        <w:t xml:space="preserve">. En revanche, </w:t>
      </w:r>
      <w:r w:rsidR="007B4DD9" w:rsidRPr="009B0B45">
        <w:t>la mise en place de cette recommandation</w:t>
      </w:r>
      <w:r w:rsidR="009506AE" w:rsidRPr="009B0B45">
        <w:t xml:space="preserve"> risque d’apporter un facteur de confusion pour le patient. </w:t>
      </w:r>
    </w:p>
    <w:p w14:paraId="4CA4F507" w14:textId="400ADBF0" w:rsidR="007A28C1" w:rsidRPr="009B0B45" w:rsidRDefault="00D74797" w:rsidP="009B0B45">
      <w:pPr>
        <w:spacing w:after="0"/>
        <w:jc w:val="both"/>
      </w:pPr>
      <w:r w:rsidRPr="009B0B45">
        <w:t xml:space="preserve"> </w:t>
      </w:r>
    </w:p>
    <w:p w14:paraId="073838BF" w14:textId="08F414EB" w:rsidR="005246F5" w:rsidRPr="009B0B45" w:rsidRDefault="00000593" w:rsidP="00AC4F40">
      <w:pPr>
        <w:spacing w:after="60"/>
        <w:jc w:val="both"/>
        <w:rPr>
          <w:b/>
          <w:u w:val="single"/>
        </w:rPr>
      </w:pPr>
      <w:r w:rsidRPr="009B0B45">
        <w:rPr>
          <w:b/>
          <w:u w:val="single"/>
        </w:rPr>
        <w:t>De</w:t>
      </w:r>
      <w:r w:rsidR="007A1AD3" w:rsidRPr="009B0B45">
        <w:rPr>
          <w:b/>
          <w:u w:val="single"/>
        </w:rPr>
        <w:t xml:space="preserve"> nouveaux packs</w:t>
      </w:r>
      <w:r w:rsidRPr="009B0B45">
        <w:rPr>
          <w:b/>
          <w:u w:val="single"/>
        </w:rPr>
        <w:t xml:space="preserve"> à l’origine d</w:t>
      </w:r>
      <w:r w:rsidR="00A91F73" w:rsidRPr="009B0B45">
        <w:rPr>
          <w:b/>
          <w:u w:val="single"/>
        </w:rPr>
        <w:t xml:space="preserve">e </w:t>
      </w:r>
      <w:r w:rsidR="007A1AD3" w:rsidRPr="009B0B45">
        <w:rPr>
          <w:b/>
          <w:u w:val="single"/>
        </w:rPr>
        <w:t>25 % d’erreurs</w:t>
      </w:r>
      <w:r w:rsidR="005246F5" w:rsidRPr="009B0B45">
        <w:rPr>
          <w:b/>
          <w:u w:val="single"/>
        </w:rPr>
        <w:t xml:space="preserve"> </w:t>
      </w:r>
    </w:p>
    <w:p w14:paraId="48F8FB4F" w14:textId="6A992701" w:rsidR="00A91F73" w:rsidRDefault="008009CC" w:rsidP="00AC4F40">
      <w:pPr>
        <w:spacing w:after="60"/>
        <w:jc w:val="both"/>
      </w:pPr>
      <w:r w:rsidRPr="009B0B45">
        <w:t>U</w:t>
      </w:r>
      <w:r w:rsidR="00C2026D" w:rsidRPr="009B0B45">
        <w:t xml:space="preserve">ne étude </w:t>
      </w:r>
      <w:r w:rsidRPr="009B0B45">
        <w:t>menée</w:t>
      </w:r>
      <w:r w:rsidR="00C2026D" w:rsidRPr="009B0B45">
        <w:t xml:space="preserve"> </w:t>
      </w:r>
      <w:r w:rsidR="00A45F7A" w:rsidRPr="009B0B45">
        <w:t xml:space="preserve">en avril 2018 </w:t>
      </w:r>
      <w:r w:rsidR="00C2026D" w:rsidRPr="009B0B45">
        <w:t>par</w:t>
      </w:r>
      <w:r w:rsidR="00A45F7A" w:rsidRPr="009B0B45">
        <w:t xml:space="preserve"> l’institut d’étude</w:t>
      </w:r>
      <w:r w:rsidR="00C2026D" w:rsidRPr="009B0B45">
        <w:t xml:space="preserve"> </w:t>
      </w:r>
      <w:proofErr w:type="spellStart"/>
      <w:r w:rsidR="00C2026D" w:rsidRPr="009B0B45">
        <w:t>Opinionway</w:t>
      </w:r>
      <w:proofErr w:type="spellEnd"/>
      <w:r w:rsidR="00F0619A" w:rsidRPr="009B0B45">
        <w:t xml:space="preserve">, </w:t>
      </w:r>
      <w:r w:rsidR="00C2026D" w:rsidRPr="009B0B45">
        <w:t xml:space="preserve">sur un échantillon </w:t>
      </w:r>
      <w:r w:rsidR="00F0619A" w:rsidRPr="009B0B45">
        <w:t xml:space="preserve">représentatif de la population </w:t>
      </w:r>
      <w:r w:rsidR="00C2026D" w:rsidRPr="009B0B45">
        <w:t xml:space="preserve">de </w:t>
      </w:r>
      <w:r w:rsidR="00F0619A" w:rsidRPr="009B0B45">
        <w:t xml:space="preserve">plus de </w:t>
      </w:r>
      <w:r w:rsidR="00C2026D" w:rsidRPr="009B0B45">
        <w:t>10</w:t>
      </w:r>
      <w:r w:rsidR="00F0619A" w:rsidRPr="009B0B45">
        <w:t>00</w:t>
      </w:r>
      <w:r w:rsidR="00C2026D" w:rsidRPr="009B0B45">
        <w:t xml:space="preserve"> </w:t>
      </w:r>
      <w:r w:rsidR="00F0619A" w:rsidRPr="009B0B45">
        <w:t>personnes</w:t>
      </w:r>
      <w:r w:rsidR="00C2026D" w:rsidRPr="009B0B45">
        <w:t xml:space="preserve">, </w:t>
      </w:r>
      <w:r w:rsidR="00A45F7A" w:rsidRPr="009B0B45">
        <w:t xml:space="preserve">a </w:t>
      </w:r>
      <w:r w:rsidR="00B94E4E" w:rsidRPr="009B0B45">
        <w:t>apporté la preuve du danger pour les patients que représente</w:t>
      </w:r>
      <w:r w:rsidR="00A45F7A" w:rsidRPr="009B0B45">
        <w:t xml:space="preserve"> </w:t>
      </w:r>
      <w:r w:rsidR="00F0619A" w:rsidRPr="009B0B45">
        <w:t>la</w:t>
      </w:r>
      <w:r w:rsidR="00A45F7A" w:rsidRPr="009B0B45">
        <w:t xml:space="preserve"> recommandation sur les packagings. </w:t>
      </w:r>
      <w:r w:rsidR="007A1AD3" w:rsidRPr="009B0B45">
        <w:t xml:space="preserve">Cette </w:t>
      </w:r>
      <w:r w:rsidRPr="009B0B45">
        <w:t>étud</w:t>
      </w:r>
      <w:r w:rsidR="007A1AD3" w:rsidRPr="009B0B45">
        <w:t>e a en effet mis en évidence qu</w:t>
      </w:r>
      <w:r w:rsidR="00C510EC" w:rsidRPr="009B0B45">
        <w:t>’environ</w:t>
      </w:r>
      <w:r w:rsidR="007A1AD3" w:rsidRPr="009B0B45">
        <w:t xml:space="preserve"> </w:t>
      </w:r>
      <w:r w:rsidR="007A1AD3" w:rsidRPr="009B0B45">
        <w:rPr>
          <w:b/>
        </w:rPr>
        <w:t>un quart de la population</w:t>
      </w:r>
      <w:r w:rsidR="00DE4923">
        <w:rPr>
          <w:rStyle w:val="Appelnotedebasdep"/>
          <w:b/>
        </w:rPr>
        <w:footnoteReference w:id="2"/>
      </w:r>
      <w:r w:rsidR="007A1AD3" w:rsidRPr="009B0B45">
        <w:rPr>
          <w:b/>
        </w:rPr>
        <w:t xml:space="preserve"> identifiera moins bien l’indication des médicaments avec des packs conformes à la recommandation de l’</w:t>
      </w:r>
      <w:proofErr w:type="spellStart"/>
      <w:r w:rsidR="007A1AD3" w:rsidRPr="009B0B45">
        <w:rPr>
          <w:b/>
        </w:rPr>
        <w:t>Ansm</w:t>
      </w:r>
      <w:proofErr w:type="spellEnd"/>
      <w:r w:rsidR="00F0619A" w:rsidRPr="009B0B45">
        <w:t>,</w:t>
      </w:r>
      <w:r w:rsidR="007A1AD3" w:rsidRPr="009B0B45">
        <w:t xml:space="preserve"> plutôt qu’avec les conditionnements </w:t>
      </w:r>
      <w:r w:rsidRPr="009B0B45">
        <w:t>actuels</w:t>
      </w:r>
      <w:r w:rsidR="007A1AD3" w:rsidRPr="009B0B45">
        <w:t xml:space="preserve">. </w:t>
      </w:r>
      <w:r w:rsidR="00C510EC" w:rsidRPr="009B0B45">
        <w:t xml:space="preserve">Les nouveaux packagings ont été jugés moins faciles à lire </w:t>
      </w:r>
      <w:r w:rsidR="000F32BD">
        <w:t>(34%</w:t>
      </w:r>
      <w:r w:rsidR="008C7DBB">
        <w:t xml:space="preserve"> vs </w:t>
      </w:r>
      <w:r w:rsidR="008C7DBB">
        <w:t>52%</w:t>
      </w:r>
      <w:r w:rsidR="000F32BD">
        <w:t xml:space="preserve">), moins facile </w:t>
      </w:r>
      <w:r w:rsidR="00C510EC" w:rsidRPr="009B0B45">
        <w:t>à comprendre</w:t>
      </w:r>
      <w:r w:rsidR="009B0B45">
        <w:t xml:space="preserve"> (</w:t>
      </w:r>
      <w:r w:rsidR="000F32BD">
        <w:t>32%</w:t>
      </w:r>
      <w:r w:rsidR="008C7DBB">
        <w:t xml:space="preserve"> vs 50%</w:t>
      </w:r>
      <w:r w:rsidR="00F96085" w:rsidRPr="009B0B45">
        <w:t>)</w:t>
      </w:r>
      <w:r w:rsidR="000F32BD">
        <w:t>, moins faciles</w:t>
      </w:r>
      <w:r w:rsidR="00C510EC" w:rsidRPr="009B0B45">
        <w:t xml:space="preserve"> à trouver en officine </w:t>
      </w:r>
      <w:r w:rsidR="009B0B45">
        <w:t>(</w:t>
      </w:r>
      <w:r w:rsidR="000F32BD">
        <w:t>22%</w:t>
      </w:r>
      <w:r w:rsidR="008C7DBB">
        <w:t xml:space="preserve"> vs 41%</w:t>
      </w:r>
      <w:r w:rsidR="00F96085">
        <w:t xml:space="preserve">) </w:t>
      </w:r>
      <w:r w:rsidR="00C510EC" w:rsidRPr="00C510EC">
        <w:t>ou dans l’armoire à pharmacie familiale</w:t>
      </w:r>
      <w:r w:rsidR="00F96085">
        <w:t xml:space="preserve"> (</w:t>
      </w:r>
      <w:r w:rsidR="000F32BD">
        <w:t>24%</w:t>
      </w:r>
      <w:r w:rsidR="008C7DBB">
        <w:t xml:space="preserve"> vs 45%</w:t>
      </w:r>
      <w:r w:rsidR="00F96085">
        <w:t>)</w:t>
      </w:r>
      <w:r w:rsidR="00C510EC" w:rsidRPr="00C510EC">
        <w:t>, et mettant moins clairement en avant l’indication</w:t>
      </w:r>
      <w:r w:rsidR="00F96085">
        <w:t xml:space="preserve"> (</w:t>
      </w:r>
      <w:r w:rsidR="000F32BD">
        <w:t>36%</w:t>
      </w:r>
      <w:r w:rsidR="008C7DBB">
        <w:t xml:space="preserve"> vs 54%</w:t>
      </w:r>
      <w:r w:rsidR="00F96085">
        <w:t>)</w:t>
      </w:r>
      <w:r w:rsidR="00C510EC">
        <w:t xml:space="preserve">. </w:t>
      </w:r>
    </w:p>
    <w:p w14:paraId="3B4DDD15" w14:textId="6E85EEF3" w:rsidR="009A6426" w:rsidRDefault="00C510EC" w:rsidP="009A6426">
      <w:pPr>
        <w:spacing w:after="60"/>
        <w:jc w:val="both"/>
      </w:pPr>
      <w:r>
        <w:t xml:space="preserve">Enfin, </w:t>
      </w:r>
      <w:r w:rsidRPr="005A7BDC">
        <w:rPr>
          <w:b/>
        </w:rPr>
        <w:t>jusqu’à 96% des personnes interrogées ignoraient le nom de la substance active ou à quoi elle sert précisément</w:t>
      </w:r>
      <w:r>
        <w:t xml:space="preserve">. </w:t>
      </w:r>
      <w:r w:rsidR="009A6426">
        <w:t>C’est pourquoi, plutôt qu’une minimisation du nom de marque, l’</w:t>
      </w:r>
      <w:proofErr w:type="spellStart"/>
      <w:r w:rsidR="009A6426">
        <w:t>Afipa</w:t>
      </w:r>
      <w:proofErr w:type="spellEnd"/>
      <w:r w:rsidR="009A6426">
        <w:t xml:space="preserve"> avait proposé à l’</w:t>
      </w:r>
      <w:proofErr w:type="spellStart"/>
      <w:r w:rsidR="009A6426">
        <w:t>Ansm</w:t>
      </w:r>
      <w:proofErr w:type="spellEnd"/>
      <w:r w:rsidR="009A6426">
        <w:t xml:space="preserve"> d’assurer la bonne lisibilité de la dénomination des actifs – information nécessaire au bon usage du médicament.</w:t>
      </w:r>
    </w:p>
    <w:p w14:paraId="7CBA66D5" w14:textId="1BDDEA84" w:rsidR="00F11C5B" w:rsidRDefault="00DC47BD" w:rsidP="00AC4F40">
      <w:pPr>
        <w:spacing w:after="60"/>
        <w:jc w:val="both"/>
      </w:pPr>
      <w:r>
        <w:t xml:space="preserve"> </w:t>
      </w:r>
    </w:p>
    <w:p w14:paraId="203E344A" w14:textId="4AAAF74C" w:rsidR="00A91F73" w:rsidRDefault="00A91F73" w:rsidP="00AC4F40">
      <w:pPr>
        <w:spacing w:after="60"/>
        <w:jc w:val="both"/>
      </w:pPr>
      <w:r>
        <w:t xml:space="preserve">Une étude similaire réalisée sur les pharmaciens a quant à elle démontré que cette mesure ne </w:t>
      </w:r>
      <w:r w:rsidR="00AB21CC">
        <w:t xml:space="preserve">leur </w:t>
      </w:r>
      <w:r>
        <w:t xml:space="preserve">bénéficiait pas non plus, compte tenu de la bonne identification des packs actuels </w:t>
      </w:r>
      <w:r w:rsidR="00F96085">
        <w:t>à 98%</w:t>
      </w:r>
      <w:r w:rsidR="009B0B45">
        <w:t>.</w:t>
      </w:r>
      <w:r w:rsidR="009A6426">
        <w:t xml:space="preserve"> Néanmoins, la plupart des pharmaciens sont inquiets pour la sécurité des patients de la mise en œuvre de cette nouvelle recommandation. </w:t>
      </w:r>
    </w:p>
    <w:p w14:paraId="4356D7A9" w14:textId="04FF74D4" w:rsidR="009A6426" w:rsidRDefault="009A6426" w:rsidP="00AC4F40">
      <w:pPr>
        <w:spacing w:after="60"/>
        <w:jc w:val="both"/>
      </w:pPr>
      <w:r>
        <w:t>En effet, si le patient bénéficie des conseils et de l’accompagnement du pharmacien au moment de choisir son traitement, il reste indispensable que le patient puisse identifier chez lui le médicament adapté, en toute autonomie.</w:t>
      </w:r>
    </w:p>
    <w:p w14:paraId="203E709A" w14:textId="77777777" w:rsidR="002D1A91" w:rsidRDefault="002D1A91" w:rsidP="00AC4F40">
      <w:pPr>
        <w:spacing w:after="60"/>
        <w:jc w:val="both"/>
        <w:rPr>
          <w:b/>
          <w:sz w:val="8"/>
          <w:szCs w:val="8"/>
        </w:rPr>
      </w:pPr>
    </w:p>
    <w:p w14:paraId="107A3313" w14:textId="77777777" w:rsidR="008C7DBB" w:rsidRDefault="008C7DBB" w:rsidP="00AC4F40">
      <w:pPr>
        <w:spacing w:after="60"/>
        <w:jc w:val="both"/>
        <w:rPr>
          <w:b/>
          <w:sz w:val="8"/>
          <w:szCs w:val="8"/>
        </w:rPr>
      </w:pPr>
    </w:p>
    <w:p w14:paraId="3B060DFC" w14:textId="77777777" w:rsidR="008C7DBB" w:rsidRDefault="008C7DBB" w:rsidP="00AC4F40">
      <w:pPr>
        <w:spacing w:after="60"/>
        <w:jc w:val="both"/>
        <w:rPr>
          <w:b/>
          <w:sz w:val="8"/>
          <w:szCs w:val="8"/>
        </w:rPr>
      </w:pPr>
    </w:p>
    <w:p w14:paraId="72534B38" w14:textId="77777777" w:rsidR="008C7DBB" w:rsidRDefault="008C7DBB" w:rsidP="00AC4F40">
      <w:pPr>
        <w:spacing w:after="60"/>
        <w:jc w:val="both"/>
        <w:rPr>
          <w:b/>
          <w:sz w:val="8"/>
          <w:szCs w:val="8"/>
        </w:rPr>
      </w:pPr>
    </w:p>
    <w:p w14:paraId="007998E9" w14:textId="77777777" w:rsidR="008C7DBB" w:rsidRPr="004A410C" w:rsidRDefault="008C7DBB" w:rsidP="00AC4F40">
      <w:pPr>
        <w:spacing w:after="60"/>
        <w:jc w:val="both"/>
        <w:rPr>
          <w:b/>
          <w:sz w:val="8"/>
          <w:szCs w:val="8"/>
        </w:rPr>
      </w:pPr>
    </w:p>
    <w:p w14:paraId="7CDD083C" w14:textId="4148B818" w:rsidR="00ED5A70" w:rsidRPr="00BD4E81" w:rsidRDefault="00ED5A70" w:rsidP="00AC4F40">
      <w:pPr>
        <w:spacing w:after="60"/>
        <w:jc w:val="both"/>
        <w:rPr>
          <w:b/>
          <w:u w:val="single"/>
        </w:rPr>
      </w:pPr>
      <w:r w:rsidRPr="00BD4E81">
        <w:rPr>
          <w:b/>
          <w:u w:val="single"/>
        </w:rPr>
        <w:lastRenderedPageBreak/>
        <w:t xml:space="preserve">La marque, un repère fondamental </w:t>
      </w:r>
      <w:r w:rsidR="00BD4E81" w:rsidRPr="00BD4E81">
        <w:rPr>
          <w:b/>
          <w:u w:val="single"/>
        </w:rPr>
        <w:t>pour</w:t>
      </w:r>
      <w:r w:rsidRPr="00BD4E81">
        <w:rPr>
          <w:b/>
          <w:u w:val="single"/>
        </w:rPr>
        <w:t xml:space="preserve"> le secteur de l’automédication</w:t>
      </w:r>
    </w:p>
    <w:p w14:paraId="24F27224" w14:textId="27BA9776" w:rsidR="00036428" w:rsidRPr="00073412" w:rsidRDefault="004A410C" w:rsidP="00AC4F40">
      <w:pPr>
        <w:spacing w:after="60"/>
        <w:jc w:val="both"/>
        <w:rPr>
          <w:color w:val="FF0000"/>
        </w:rPr>
      </w:pPr>
      <w:r w:rsidRPr="00ED5A70">
        <w:t xml:space="preserve">Dans </w:t>
      </w:r>
      <w:r w:rsidR="00C1514A">
        <w:t>ce</w:t>
      </w:r>
      <w:r w:rsidRPr="00ED5A70">
        <w:t xml:space="preserve"> contexte, </w:t>
      </w:r>
      <w:r w:rsidR="00036428">
        <w:t>l</w:t>
      </w:r>
      <w:r w:rsidR="002D1A91">
        <w:t xml:space="preserve">a marque </w:t>
      </w:r>
      <w:r w:rsidR="00036428">
        <w:t>constitue</w:t>
      </w:r>
      <w:r w:rsidR="002D1A91">
        <w:t xml:space="preserve"> un lien précieux ent</w:t>
      </w:r>
      <w:r w:rsidR="00036428">
        <w:t>re le patient et le médicament</w:t>
      </w:r>
      <w:r w:rsidR="002D1A91">
        <w:t>. En effet, l’automédication se pratique par le patient</w:t>
      </w:r>
      <w:r w:rsidR="008F32B9">
        <w:t>,</w:t>
      </w:r>
      <w:r w:rsidR="002D1A91">
        <w:t xml:space="preserve"> avec le conseil de son pharmacien, </w:t>
      </w:r>
      <w:r w:rsidR="00C1514A">
        <w:t xml:space="preserve">mais </w:t>
      </w:r>
      <w:r w:rsidR="002D1A91">
        <w:t xml:space="preserve">sans passage par une prescription en </w:t>
      </w:r>
      <w:r w:rsidR="009B31DA">
        <w:t>dénomination commun</w:t>
      </w:r>
      <w:r w:rsidR="006835C3">
        <w:t>e</w:t>
      </w:r>
      <w:r w:rsidR="002D1A91">
        <w:t xml:space="preserve"> par le médecin. </w:t>
      </w:r>
      <w:r w:rsidR="002D1A91" w:rsidRPr="00A03C8B">
        <w:rPr>
          <w:b/>
        </w:rPr>
        <w:t xml:space="preserve">La marque </w:t>
      </w:r>
      <w:r w:rsidR="00353F1D" w:rsidRPr="00A03C8B">
        <w:rPr>
          <w:b/>
        </w:rPr>
        <w:t xml:space="preserve">favorise </w:t>
      </w:r>
      <w:r w:rsidR="00036428" w:rsidRPr="00A03C8B">
        <w:rPr>
          <w:b/>
        </w:rPr>
        <w:t xml:space="preserve">ainsi </w:t>
      </w:r>
      <w:r w:rsidR="00353F1D" w:rsidRPr="00A03C8B">
        <w:rPr>
          <w:b/>
        </w:rPr>
        <w:t>la mémorisation et l’identification</w:t>
      </w:r>
      <w:r w:rsidR="002D1A91" w:rsidRPr="00A03C8B">
        <w:rPr>
          <w:b/>
        </w:rPr>
        <w:t xml:space="preserve"> par le patient du médicament</w:t>
      </w:r>
      <w:r w:rsidR="002D1A91">
        <w:t xml:space="preserve"> </w:t>
      </w:r>
      <w:r w:rsidR="00353F1D">
        <w:t>dont il a l’habitude</w:t>
      </w:r>
      <w:r w:rsidR="009B31DA">
        <w:t xml:space="preserve"> et</w:t>
      </w:r>
      <w:r w:rsidR="00353F1D">
        <w:t xml:space="preserve"> </w:t>
      </w:r>
      <w:r w:rsidR="004B41D5">
        <w:t xml:space="preserve">constitue </w:t>
      </w:r>
      <w:r w:rsidR="004B41D5" w:rsidRPr="00A03C8B">
        <w:rPr>
          <w:b/>
        </w:rPr>
        <w:t>un facteur de sécurisation de l’automédication</w:t>
      </w:r>
      <w:r w:rsidR="00353F1D">
        <w:t xml:space="preserve">, </w:t>
      </w:r>
      <w:r w:rsidR="00C1514A">
        <w:t xml:space="preserve">la </w:t>
      </w:r>
      <w:r w:rsidR="00353F1D">
        <w:t>dénomination des actifs</w:t>
      </w:r>
      <w:r w:rsidR="00C1514A">
        <w:t xml:space="preserve"> se révélant souvent complexe</w:t>
      </w:r>
      <w:r w:rsidR="004B41D5">
        <w:t xml:space="preserve">. </w:t>
      </w:r>
    </w:p>
    <w:p w14:paraId="340B96BC" w14:textId="7B4A7218" w:rsidR="00036428" w:rsidRDefault="00353F1D" w:rsidP="00036428">
      <w:pPr>
        <w:spacing w:after="60"/>
        <w:jc w:val="both"/>
      </w:pPr>
      <w:r>
        <w:t xml:space="preserve">Affaiblir le poids de la marque revient à briser ce lien et fait courir un risque au patient. </w:t>
      </w:r>
    </w:p>
    <w:p w14:paraId="68CAA95A" w14:textId="77777777" w:rsidR="00C1514A" w:rsidRPr="00ED5A70" w:rsidRDefault="00C1514A" w:rsidP="00036428">
      <w:pPr>
        <w:spacing w:after="60"/>
        <w:jc w:val="both"/>
      </w:pPr>
    </w:p>
    <w:p w14:paraId="699B6638" w14:textId="03B4531C" w:rsidR="00E14B20" w:rsidRPr="00ED5A70" w:rsidRDefault="00A91F73" w:rsidP="00E14B20">
      <w:pPr>
        <w:spacing w:after="60"/>
        <w:jc w:val="both"/>
      </w:pPr>
      <w:r>
        <w:rPr>
          <w:b/>
        </w:rPr>
        <w:t>A contre-courant de ce qui est fait ailleurs en Europe</w:t>
      </w:r>
      <w:r w:rsidR="00E14B20">
        <w:rPr>
          <w:b/>
        </w:rPr>
        <w:t xml:space="preserve">, </w:t>
      </w:r>
      <w:r>
        <w:rPr>
          <w:b/>
        </w:rPr>
        <w:t xml:space="preserve"> </w:t>
      </w:r>
      <w:r w:rsidR="00E14B20">
        <w:t>l’</w:t>
      </w:r>
      <w:proofErr w:type="spellStart"/>
      <w:r w:rsidR="00E14B20">
        <w:t>Ansm</w:t>
      </w:r>
      <w:proofErr w:type="spellEnd"/>
      <w:r w:rsidR="00E14B20">
        <w:t xml:space="preserve">, agence de santé publique, crée ainsi un </w:t>
      </w:r>
      <w:r>
        <w:t>facteur</w:t>
      </w:r>
      <w:r w:rsidR="00E14B20">
        <w:t xml:space="preserve"> supplémentaire </w:t>
      </w:r>
      <w:r>
        <w:t>de confusion pour le patient</w:t>
      </w:r>
      <w:r w:rsidR="00AB21CC">
        <w:t>,</w:t>
      </w:r>
      <w:r>
        <w:t xml:space="preserve"> </w:t>
      </w:r>
      <w:r w:rsidR="00E14B20">
        <w:t xml:space="preserve">dans un secteur au risque pourtant maîtrisé. </w:t>
      </w:r>
    </w:p>
    <w:p w14:paraId="04D9DDAF" w14:textId="53EBD5F8" w:rsidR="004F4F7F" w:rsidRDefault="004B41D5" w:rsidP="00453F39">
      <w:pPr>
        <w:spacing w:after="60"/>
        <w:jc w:val="both"/>
      </w:pPr>
      <w:r>
        <w:rPr>
          <w:b/>
        </w:rPr>
        <w:t xml:space="preserve">La sécurité des patients demeure la priorité de l’Afipa </w:t>
      </w:r>
      <w:r w:rsidR="008B61FF">
        <w:rPr>
          <w:b/>
        </w:rPr>
        <w:t xml:space="preserve">qui </w:t>
      </w:r>
      <w:r w:rsidR="00415D0D">
        <w:rPr>
          <w:b/>
        </w:rPr>
        <w:t xml:space="preserve">entend </w:t>
      </w:r>
      <w:r w:rsidR="008B61FF">
        <w:rPr>
          <w:b/>
        </w:rPr>
        <w:t>demande</w:t>
      </w:r>
      <w:r w:rsidR="00415D0D">
        <w:rPr>
          <w:b/>
        </w:rPr>
        <w:t xml:space="preserve">r le retrait </w:t>
      </w:r>
      <w:r w:rsidR="003E11FF">
        <w:rPr>
          <w:b/>
        </w:rPr>
        <w:t>de cette</w:t>
      </w:r>
      <w:r w:rsidR="003E11FF" w:rsidRPr="003E11FF">
        <w:rPr>
          <w:b/>
        </w:rPr>
        <w:t xml:space="preserve"> recommandation</w:t>
      </w:r>
      <w:r w:rsidR="00E07811">
        <w:rPr>
          <w:b/>
        </w:rPr>
        <w:t xml:space="preserve"> aux conséquences </w:t>
      </w:r>
      <w:r w:rsidR="00AB21CC">
        <w:rPr>
          <w:b/>
        </w:rPr>
        <w:t xml:space="preserve">potentielles </w:t>
      </w:r>
      <w:r w:rsidR="00E07811">
        <w:rPr>
          <w:b/>
        </w:rPr>
        <w:t>dramatiques</w:t>
      </w:r>
      <w:r w:rsidR="0088246A">
        <w:rPr>
          <w:b/>
        </w:rPr>
        <w:t xml:space="preserve">, </w:t>
      </w:r>
      <w:r w:rsidR="0088246A" w:rsidRPr="003F0FA0">
        <w:t>afin de pouvoir retravailler ce projet en réelle coopération et de façon constructive avec les autorités</w:t>
      </w:r>
      <w:r w:rsidR="008C7DBB">
        <w:t>.</w:t>
      </w:r>
      <w:r w:rsidR="00E32863">
        <w:t xml:space="preserve"> </w:t>
      </w:r>
    </w:p>
    <w:p w14:paraId="0B5C0BFC" w14:textId="4BD056E6" w:rsidR="00FD1D61" w:rsidRPr="00453F39" w:rsidRDefault="0019152A" w:rsidP="00453F39">
      <w:pPr>
        <w:spacing w:after="60"/>
        <w:jc w:val="both"/>
      </w:pPr>
      <w:r>
        <w:t>U</w:t>
      </w:r>
      <w:r w:rsidR="0088246A">
        <w:t xml:space="preserve">n recours en annulation </w:t>
      </w:r>
      <w:r w:rsidR="00F25C63">
        <w:t>a</w:t>
      </w:r>
      <w:r w:rsidR="0062078F">
        <w:t xml:space="preserve"> </w:t>
      </w:r>
      <w:r w:rsidR="00F25C63">
        <w:t>été déposé</w:t>
      </w:r>
      <w:bookmarkStart w:id="0" w:name="_GoBack"/>
      <w:bookmarkEnd w:id="0"/>
      <w:r w:rsidR="0088246A">
        <w:t xml:space="preserve"> </w:t>
      </w:r>
      <w:r w:rsidR="004A3071">
        <w:t xml:space="preserve">au Conseil d’Etat </w:t>
      </w:r>
      <w:r w:rsidR="0088246A">
        <w:t>fin avril par l’</w:t>
      </w:r>
      <w:r w:rsidR="005F1A2B">
        <w:t>A</w:t>
      </w:r>
      <w:r w:rsidR="0088246A">
        <w:t>ssociation.</w:t>
      </w:r>
    </w:p>
    <w:p w14:paraId="28378B7D" w14:textId="75EEFA2C" w:rsidR="00453F39" w:rsidRDefault="00453F39" w:rsidP="00FD1D61">
      <w:pPr>
        <w:spacing w:after="60"/>
        <w:rPr>
          <w:i/>
          <w:sz w:val="8"/>
          <w:szCs w:val="8"/>
        </w:rPr>
      </w:pPr>
    </w:p>
    <w:p w14:paraId="70A587D8" w14:textId="77777777" w:rsidR="005246F5" w:rsidRDefault="005246F5" w:rsidP="00FD1D61">
      <w:pPr>
        <w:spacing w:after="60"/>
        <w:rPr>
          <w:i/>
          <w:sz w:val="8"/>
          <w:szCs w:val="8"/>
        </w:rPr>
      </w:pPr>
    </w:p>
    <w:p w14:paraId="4D891733" w14:textId="495429A4" w:rsidR="00453F39" w:rsidRPr="00A24F53" w:rsidRDefault="00453F39" w:rsidP="00453F39">
      <w:pPr>
        <w:pBdr>
          <w:top w:val="single" w:sz="4" w:space="1" w:color="auto"/>
          <w:left w:val="single" w:sz="4" w:space="4" w:color="auto"/>
          <w:bottom w:val="single" w:sz="4" w:space="1" w:color="auto"/>
          <w:right w:val="single" w:sz="4" w:space="4" w:color="auto"/>
        </w:pBdr>
        <w:spacing w:after="60" w:line="240" w:lineRule="auto"/>
        <w:jc w:val="both"/>
      </w:pPr>
      <w:r w:rsidRPr="00A24F53">
        <w:t>La recommandation publiée par l’</w:t>
      </w:r>
      <w:proofErr w:type="spellStart"/>
      <w:r w:rsidRPr="00A24F53">
        <w:t>Ansm</w:t>
      </w:r>
      <w:proofErr w:type="spellEnd"/>
      <w:r w:rsidRPr="00A24F53">
        <w:t xml:space="preserve"> invite à faire figurer sur certains packs de médicaments la dénomination commune des principes actifs dans une police de taille supérieure à celle des autres mentions, y compris à la taille utilisée pour le nom de fantaisie ou d</w:t>
      </w:r>
      <w:r w:rsidR="00BF691A">
        <w:t>u</w:t>
      </w:r>
      <w:r w:rsidRPr="00A24F53">
        <w:t xml:space="preserve"> laboratoire. Ce texte recommande également l’occultation de certains signes distinctifs tels que le logo de marque, et favorise la démultiplication des informations. </w:t>
      </w:r>
    </w:p>
    <w:p w14:paraId="1B948631" w14:textId="305727A4" w:rsidR="00453F39" w:rsidRPr="00A24F53" w:rsidRDefault="00453F39" w:rsidP="00453F39">
      <w:pPr>
        <w:pBdr>
          <w:top w:val="single" w:sz="4" w:space="1" w:color="auto"/>
          <w:left w:val="single" w:sz="4" w:space="4" w:color="auto"/>
          <w:bottom w:val="single" w:sz="4" w:space="1" w:color="auto"/>
          <w:right w:val="single" w:sz="4" w:space="4" w:color="auto"/>
        </w:pBdr>
        <w:spacing w:after="60" w:line="240" w:lineRule="auto"/>
        <w:jc w:val="both"/>
      </w:pPr>
      <w:r w:rsidRPr="00A24F53">
        <w:t xml:space="preserve">Cette recommandation </w:t>
      </w:r>
      <w:r w:rsidR="00FF7252">
        <w:t>à l’attention d</w:t>
      </w:r>
      <w:r w:rsidRPr="00A24F53">
        <w:t xml:space="preserve">es demandeurs et titulaires d’autorisations de mise sur le marché et d’enregistrements </w:t>
      </w:r>
      <w:r w:rsidR="00FF7252">
        <w:t>concern</w:t>
      </w:r>
      <w:r w:rsidR="007D36B1">
        <w:t>e</w:t>
      </w:r>
      <w:r w:rsidRPr="00A24F53">
        <w:t xml:space="preserve"> l’étiquetage des conditionnements des médicaments sous forme orale solide (hors homéopathie)</w:t>
      </w:r>
      <w:r w:rsidR="00FF7252">
        <w:t>.</w:t>
      </w:r>
    </w:p>
    <w:p w14:paraId="6C0059ED" w14:textId="6486C152" w:rsidR="00453F39" w:rsidRDefault="00453F39" w:rsidP="00FD1D61">
      <w:pPr>
        <w:spacing w:after="60"/>
        <w:rPr>
          <w:i/>
          <w:sz w:val="8"/>
          <w:szCs w:val="8"/>
        </w:rPr>
      </w:pPr>
    </w:p>
    <w:p w14:paraId="0C3A5AD5" w14:textId="77777777" w:rsidR="00FD1D61" w:rsidRDefault="00FD1D61" w:rsidP="00453F39">
      <w:pPr>
        <w:spacing w:after="60"/>
        <w:rPr>
          <w:i/>
          <w:sz w:val="8"/>
          <w:szCs w:val="8"/>
        </w:rPr>
      </w:pPr>
    </w:p>
    <w:p w14:paraId="19594A94" w14:textId="666117EB" w:rsidR="005246F5" w:rsidRDefault="00F24395" w:rsidP="005246F5">
      <w:pPr>
        <w:spacing w:after="60"/>
        <w:jc w:val="both"/>
        <w:rPr>
          <w:i/>
          <w:sz w:val="8"/>
          <w:szCs w:val="8"/>
        </w:rPr>
      </w:pPr>
      <w:r>
        <w:rPr>
          <w:i/>
          <w:noProof/>
          <w:sz w:val="8"/>
          <w:szCs w:val="8"/>
          <w:lang w:eastAsia="fr-FR"/>
        </w:rPr>
        <mc:AlternateContent>
          <mc:Choice Requires="wps">
            <w:drawing>
              <wp:anchor distT="0" distB="0" distL="114300" distR="114300" simplePos="0" relativeHeight="251659264" behindDoc="1" locked="0" layoutInCell="1" allowOverlap="1" wp14:anchorId="35DF7B7F" wp14:editId="6B20D9E6">
                <wp:simplePos x="0" y="0"/>
                <wp:positionH relativeFrom="column">
                  <wp:posOffset>-67310</wp:posOffset>
                </wp:positionH>
                <wp:positionV relativeFrom="paragraph">
                  <wp:posOffset>53340</wp:posOffset>
                </wp:positionV>
                <wp:extent cx="6467475" cy="942975"/>
                <wp:effectExtent l="57150" t="38100" r="85725" b="104775"/>
                <wp:wrapNone/>
                <wp:docPr id="3" name="Rectangle à coins arrondis 3"/>
                <wp:cNvGraphicFramePr/>
                <a:graphic xmlns:a="http://schemas.openxmlformats.org/drawingml/2006/main">
                  <a:graphicData uri="http://schemas.microsoft.com/office/word/2010/wordprocessingShape">
                    <wps:wsp>
                      <wps:cNvSpPr/>
                      <wps:spPr>
                        <a:xfrm>
                          <a:off x="0" y="0"/>
                          <a:ext cx="6467475" cy="942975"/>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E57E8C5" id="Rectangle à coins arrondis 3" o:spid="_x0000_s1026" style="position:absolute;margin-left:-5.3pt;margin-top:4.2pt;width:509.25pt;height:74.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" fillcolor="#cdddac [1622]" strokecolor="#94b64e [3046]">
                <v:fill color2="#f0f4e6 [502]" rotate="t" angle="180" colors="0 #dafda7;22938f #e4fdc2;1 #f5ffe6" focus="100%" type="gradient"/>
                <v:shadow on="t" color="black" opacity="24903f" origin=",.5" offset="0,.55556mm"/>
              </v:roundrect>
            </w:pict>
          </mc:Fallback>
        </mc:AlternateContent>
      </w:r>
    </w:p>
    <w:p w14:paraId="1B98945E" w14:textId="5CC02608" w:rsidR="005246F5" w:rsidRPr="009B0B45" w:rsidRDefault="005246F5" w:rsidP="005246F5">
      <w:pPr>
        <w:autoSpaceDE w:val="0"/>
        <w:autoSpaceDN w:val="0"/>
        <w:adjustRightInd w:val="0"/>
        <w:spacing w:after="0" w:line="240" w:lineRule="auto"/>
        <w:jc w:val="both"/>
        <w:rPr>
          <w:rFonts w:cs="HelveticaNeueLTStd-Roman"/>
        </w:rPr>
      </w:pPr>
      <w:r w:rsidRPr="009B0B45">
        <w:rPr>
          <w:rFonts w:cs="HelveticaNeueLTStd-Roman"/>
        </w:rPr>
        <w:t>L’Afipa</w:t>
      </w:r>
      <w:r w:rsidR="00F24395" w:rsidRPr="009B0B45">
        <w:rPr>
          <w:rFonts w:cs="HelveticaNeueLTStd-Roman"/>
        </w:rPr>
        <w:t>, acteur de santé publique,</w:t>
      </w:r>
      <w:r w:rsidRPr="009B0B45">
        <w:rPr>
          <w:rFonts w:cs="HelveticaNeueLTStd-Roman"/>
        </w:rPr>
        <w:t xml:space="preserve"> est l’</w:t>
      </w:r>
      <w:r w:rsidR="005F1A2B" w:rsidRPr="009B0B45">
        <w:rPr>
          <w:rFonts w:cs="HelveticaNeueLTStd-Roman"/>
        </w:rPr>
        <w:t>A</w:t>
      </w:r>
      <w:r w:rsidRPr="009B0B45">
        <w:rPr>
          <w:rFonts w:cs="HelveticaNeueLTStd-Roman"/>
        </w:rPr>
        <w:t>ssociation professionnelle qui représente les industriels qui produisent</w:t>
      </w:r>
      <w:r w:rsidR="00F0619A" w:rsidRPr="009B0B45">
        <w:rPr>
          <w:rFonts w:cs="HelveticaNeueLTStd-Roman"/>
        </w:rPr>
        <w:t xml:space="preserve"> e</w:t>
      </w:r>
      <w:r w:rsidRPr="009B0B45">
        <w:rPr>
          <w:rFonts w:cs="HelveticaNeueLTStd-Roman"/>
        </w:rPr>
        <w:t>t commercialisent des produits de santé disponibles en pharmacie sans ordonnance</w:t>
      </w:r>
      <w:r w:rsidR="00F0619A" w:rsidRPr="009B0B45">
        <w:rPr>
          <w:rFonts w:cs="HelveticaNeueLTStd-Roman"/>
        </w:rPr>
        <w:t xml:space="preserve"> </w:t>
      </w:r>
      <w:r w:rsidRPr="009B0B45">
        <w:rPr>
          <w:rFonts w:cs="HelveticaNeueLTStd-Roman"/>
        </w:rPr>
        <w:t>(médicaments d’automédication, dispositifs médicaux et compléments alimentaires).</w:t>
      </w:r>
    </w:p>
    <w:p w14:paraId="2328CC78" w14:textId="77777777" w:rsidR="00F0619A" w:rsidRPr="009B0B45" w:rsidRDefault="00F0619A" w:rsidP="005246F5">
      <w:pPr>
        <w:spacing w:after="60"/>
        <w:jc w:val="both"/>
        <w:rPr>
          <w:rFonts w:cs="HelveticaNeueLTStd-Roman"/>
          <w:sz w:val="8"/>
          <w:szCs w:val="8"/>
        </w:rPr>
      </w:pPr>
    </w:p>
    <w:p w14:paraId="118ED2D4" w14:textId="47809CD6" w:rsidR="005246F5" w:rsidRPr="009B0B45" w:rsidRDefault="005246F5" w:rsidP="005246F5">
      <w:pPr>
        <w:spacing w:after="60"/>
        <w:jc w:val="both"/>
        <w:rPr>
          <w:i/>
          <w:sz w:val="8"/>
          <w:szCs w:val="8"/>
        </w:rPr>
      </w:pPr>
      <w:r w:rsidRPr="009B0B45">
        <w:rPr>
          <w:rFonts w:cs="HelveticaNeueLTStd-Roman"/>
        </w:rPr>
        <w:t>Retrouvez l’Afipa sur : www.afipa.org - www.masantemonchoix.org - Twitter: @</w:t>
      </w:r>
      <w:proofErr w:type="spellStart"/>
      <w:r w:rsidRPr="009B0B45">
        <w:rPr>
          <w:rFonts w:cs="HelveticaNeueLTStd-Roman"/>
        </w:rPr>
        <w:t>afipa</w:t>
      </w:r>
      <w:proofErr w:type="spellEnd"/>
    </w:p>
    <w:p w14:paraId="2F3AD84C" w14:textId="77777777" w:rsidR="005246F5" w:rsidRPr="00FD1D61" w:rsidRDefault="005246F5" w:rsidP="00453F39">
      <w:pPr>
        <w:spacing w:after="60"/>
        <w:rPr>
          <w:i/>
          <w:sz w:val="8"/>
          <w:szCs w:val="8"/>
        </w:rPr>
      </w:pPr>
    </w:p>
    <w:p w14:paraId="118846A3" w14:textId="77777777" w:rsidR="00642116" w:rsidRDefault="00720188" w:rsidP="00720188">
      <w:pPr>
        <w:tabs>
          <w:tab w:val="center" w:pos="4536"/>
          <w:tab w:val="left" w:pos="5850"/>
        </w:tabs>
        <w:autoSpaceDE w:val="0"/>
        <w:autoSpaceDN w:val="0"/>
        <w:adjustRightInd w:val="0"/>
        <w:spacing w:after="0" w:line="240" w:lineRule="auto"/>
        <w:rPr>
          <w:rFonts w:cs="Arial"/>
          <w:b/>
          <w:bCs/>
          <w:color w:val="92D050"/>
          <w:sz w:val="20"/>
        </w:rPr>
      </w:pPr>
      <w:r w:rsidRPr="00720188">
        <w:rPr>
          <w:rFonts w:cs="Arial"/>
          <w:b/>
          <w:bCs/>
          <w:color w:val="92D050"/>
          <w:sz w:val="20"/>
        </w:rPr>
        <w:tab/>
      </w:r>
    </w:p>
    <w:p w14:paraId="463C1DD0" w14:textId="13A3B2E4" w:rsidR="001133C4" w:rsidRPr="00073412" w:rsidRDefault="001133C4" w:rsidP="005A7BDC">
      <w:pPr>
        <w:tabs>
          <w:tab w:val="center" w:pos="4536"/>
          <w:tab w:val="left" w:pos="5850"/>
        </w:tabs>
        <w:autoSpaceDE w:val="0"/>
        <w:autoSpaceDN w:val="0"/>
        <w:adjustRightInd w:val="0"/>
        <w:spacing w:after="0" w:line="240" w:lineRule="auto"/>
        <w:jc w:val="center"/>
        <w:rPr>
          <w:rFonts w:cs="Arial"/>
          <w:b/>
          <w:bCs/>
          <w:color w:val="92D050"/>
          <w:lang w:val="it-IT"/>
        </w:rPr>
      </w:pPr>
      <w:r w:rsidRPr="00073412">
        <w:rPr>
          <w:rFonts w:cs="Arial"/>
          <w:b/>
          <w:bCs/>
          <w:color w:val="92D050"/>
          <w:lang w:val="it-IT"/>
        </w:rPr>
        <w:t>CONTACT PRESSE</w:t>
      </w:r>
    </w:p>
    <w:p w14:paraId="4A5DA9BA" w14:textId="527FF798" w:rsidR="000B0A6E" w:rsidRPr="005A7BDC" w:rsidRDefault="001F26BC" w:rsidP="0001086D">
      <w:pPr>
        <w:jc w:val="center"/>
        <w:rPr>
          <w:rStyle w:val="Lienhypertexte"/>
          <w:rFonts w:cs="Arial"/>
          <w:b/>
          <w:bCs/>
          <w:color w:val="92D050"/>
          <w:lang w:val="it-IT"/>
        </w:rPr>
      </w:pPr>
      <w:r>
        <w:rPr>
          <w:rFonts w:cs="Arial"/>
          <w:b/>
          <w:bCs/>
          <w:color w:val="92D050"/>
          <w:lang w:val="it-IT"/>
        </w:rPr>
        <w:t>Fiona SALA</w:t>
      </w:r>
      <w:r w:rsidR="001133C4" w:rsidRPr="00073412">
        <w:rPr>
          <w:rFonts w:cs="Arial"/>
          <w:b/>
          <w:bCs/>
          <w:color w:val="92D050"/>
          <w:lang w:val="it-IT"/>
        </w:rPr>
        <w:t xml:space="preserve"> 01 53 32 28 5</w:t>
      </w:r>
      <w:r>
        <w:rPr>
          <w:rFonts w:cs="Arial"/>
          <w:b/>
          <w:bCs/>
          <w:color w:val="92D050"/>
          <w:lang w:val="it-IT"/>
        </w:rPr>
        <w:t>3</w:t>
      </w:r>
      <w:r w:rsidR="001133C4" w:rsidRPr="00073412">
        <w:rPr>
          <w:rFonts w:cs="Arial"/>
          <w:b/>
          <w:bCs/>
          <w:color w:val="92D050"/>
          <w:lang w:val="it-IT"/>
        </w:rPr>
        <w:t xml:space="preserve"> - </w:t>
      </w:r>
      <w:r w:rsidRPr="00C1514A">
        <w:rPr>
          <w:rFonts w:cs="Arial"/>
          <w:b/>
          <w:bCs/>
          <w:color w:val="92D050"/>
          <w:lang w:val="it-IT"/>
        </w:rPr>
        <w:t>sala</w:t>
      </w:r>
      <w:r w:rsidR="00642116" w:rsidRPr="004A3071">
        <w:rPr>
          <w:color w:val="92D050"/>
          <w:lang w:val="it-IT"/>
        </w:rPr>
        <w:t>@vianova-rp.com</w:t>
      </w:r>
    </w:p>
    <w:p w14:paraId="36E2CC74" w14:textId="77777777" w:rsidR="00C2026D" w:rsidRDefault="00C2026D" w:rsidP="0001086D">
      <w:pPr>
        <w:jc w:val="center"/>
        <w:rPr>
          <w:rStyle w:val="Lienhypertexte"/>
          <w:rFonts w:cs="Arial"/>
          <w:b/>
          <w:bCs/>
          <w:lang w:val="it-IT"/>
        </w:rPr>
      </w:pPr>
    </w:p>
    <w:p w14:paraId="35CA3D15" w14:textId="77777777" w:rsidR="00C2026D" w:rsidRDefault="00C2026D" w:rsidP="0001086D">
      <w:pPr>
        <w:jc w:val="center"/>
        <w:rPr>
          <w:rStyle w:val="Lienhypertexte"/>
          <w:rFonts w:cs="Arial"/>
          <w:b/>
          <w:bCs/>
          <w:lang w:val="it-IT"/>
        </w:rPr>
      </w:pPr>
    </w:p>
    <w:p w14:paraId="2A961849" w14:textId="77777777" w:rsidR="00C2026D" w:rsidRPr="004A3071" w:rsidRDefault="00C2026D" w:rsidP="00C2026D">
      <w:pPr>
        <w:rPr>
          <w:rFonts w:cs="Arial"/>
          <w:b/>
          <w:bCs/>
          <w:color w:val="0000FF"/>
          <w:lang w:val="it-IT"/>
        </w:rPr>
      </w:pPr>
    </w:p>
    <w:sectPr w:rsidR="00C2026D" w:rsidRPr="004A3071" w:rsidSect="00C17479">
      <w:type w:val="continuous"/>
      <w:pgSz w:w="11906" w:h="16838"/>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A784E" w14:textId="77777777" w:rsidR="005B14F3" w:rsidRDefault="005B14F3" w:rsidP="00A6707B">
      <w:pPr>
        <w:spacing w:after="0" w:line="240" w:lineRule="auto"/>
      </w:pPr>
      <w:r>
        <w:separator/>
      </w:r>
    </w:p>
  </w:endnote>
  <w:endnote w:type="continuationSeparator" w:id="0">
    <w:p w14:paraId="0E692107" w14:textId="77777777" w:rsidR="005B14F3" w:rsidRDefault="005B14F3" w:rsidP="00A6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D5156" w14:textId="77777777" w:rsidR="005B14F3" w:rsidRDefault="005B14F3" w:rsidP="00A6707B">
      <w:pPr>
        <w:spacing w:after="0" w:line="240" w:lineRule="auto"/>
      </w:pPr>
      <w:r>
        <w:separator/>
      </w:r>
    </w:p>
  </w:footnote>
  <w:footnote w:type="continuationSeparator" w:id="0">
    <w:p w14:paraId="5ECE80FD" w14:textId="77777777" w:rsidR="005B14F3" w:rsidRDefault="005B14F3" w:rsidP="00A6707B">
      <w:pPr>
        <w:spacing w:after="0" w:line="240" w:lineRule="auto"/>
      </w:pPr>
      <w:r>
        <w:continuationSeparator/>
      </w:r>
    </w:p>
  </w:footnote>
  <w:footnote w:id="1">
    <w:p w14:paraId="04882D16" w14:textId="411A9446" w:rsidR="00F24395" w:rsidRDefault="00F24395">
      <w:pPr>
        <w:pStyle w:val="Notedebasdepage"/>
      </w:pPr>
      <w:r>
        <w:rPr>
          <w:rStyle w:val="Appelnotedebasdep"/>
        </w:rPr>
        <w:footnoteRef/>
      </w:r>
      <w:r>
        <w:t xml:space="preserve"> </w:t>
      </w:r>
      <w:r w:rsidRPr="007D1FEB">
        <w:t>L’automédication consiste pour les individus à soigner leurs maladies grâce à des médicaments autorisés, accessibles sans ordonnance, sûrs et efficaces dans les conditions d’utilisation indiquées (définition OMS 2000), avec le conseil du pharmacien.</w:t>
      </w:r>
    </w:p>
  </w:footnote>
  <w:footnote w:id="2">
    <w:p w14:paraId="6D51B87B" w14:textId="30CB3DF6" w:rsidR="00DE4923" w:rsidRDefault="00DE4923">
      <w:pPr>
        <w:pStyle w:val="Notedebasdepage"/>
      </w:pPr>
      <w:r>
        <w:rPr>
          <w:rStyle w:val="Appelnotedebasdep"/>
        </w:rPr>
        <w:footnoteRef/>
      </w:r>
      <w:r>
        <w:t xml:space="preserve"> </w:t>
      </w:r>
      <w:r w:rsidRPr="00DE4923">
        <w:t>Résultats significatifs à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EC785" w14:textId="77777777" w:rsidR="0001086D" w:rsidRDefault="0001086D" w:rsidP="0001086D">
    <w:pPr>
      <w:jc w:val="right"/>
      <w:rPr>
        <w:b/>
        <w:sz w:val="24"/>
        <w:u w:val="single"/>
      </w:rPr>
    </w:pPr>
    <w:r w:rsidRPr="001133C4">
      <w:rPr>
        <w:b/>
        <w:sz w:val="24"/>
        <w:u w:val="single"/>
      </w:rPr>
      <w:t>COMMUNIQUÉ DE PRESSE</w:t>
    </w:r>
  </w:p>
  <w:p w14:paraId="6B499389" w14:textId="57DB4AE1" w:rsidR="00A6707B" w:rsidRDefault="001133C4">
    <w:pPr>
      <w:pStyle w:val="En-tte"/>
    </w:pPr>
    <w:r>
      <w:rPr>
        <w:noProof/>
        <w:lang w:eastAsia="fr-FR"/>
      </w:rPr>
      <w:drawing>
        <wp:anchor distT="0" distB="0" distL="114300" distR="114300" simplePos="0" relativeHeight="251658240" behindDoc="0" locked="0" layoutInCell="1" allowOverlap="1" wp14:anchorId="19F6A86A" wp14:editId="1D164772">
          <wp:simplePos x="0" y="0"/>
          <wp:positionH relativeFrom="margin">
            <wp:posOffset>-714375</wp:posOffset>
          </wp:positionH>
          <wp:positionV relativeFrom="margin">
            <wp:posOffset>-781050</wp:posOffset>
          </wp:positionV>
          <wp:extent cx="2228850" cy="701675"/>
          <wp:effectExtent l="0" t="0" r="0" b="317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28850" cy="7016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A3"/>
    <w:rsid w:val="00000593"/>
    <w:rsid w:val="0001086D"/>
    <w:rsid w:val="00016009"/>
    <w:rsid w:val="00032014"/>
    <w:rsid w:val="00036428"/>
    <w:rsid w:val="00036949"/>
    <w:rsid w:val="00073412"/>
    <w:rsid w:val="000949B0"/>
    <w:rsid w:val="000A6ED2"/>
    <w:rsid w:val="000B0A6E"/>
    <w:rsid w:val="000C08D3"/>
    <w:rsid w:val="000F32BD"/>
    <w:rsid w:val="000F5120"/>
    <w:rsid w:val="001133C4"/>
    <w:rsid w:val="00165AF1"/>
    <w:rsid w:val="0019152A"/>
    <w:rsid w:val="001E4552"/>
    <w:rsid w:val="001F26BC"/>
    <w:rsid w:val="002146AF"/>
    <w:rsid w:val="00222C32"/>
    <w:rsid w:val="00227A8D"/>
    <w:rsid w:val="0023324E"/>
    <w:rsid w:val="00234CE5"/>
    <w:rsid w:val="00245CA9"/>
    <w:rsid w:val="0025602F"/>
    <w:rsid w:val="002D1A91"/>
    <w:rsid w:val="002D2DF2"/>
    <w:rsid w:val="002D4A2A"/>
    <w:rsid w:val="002F7E74"/>
    <w:rsid w:val="00301AB1"/>
    <w:rsid w:val="00353F1D"/>
    <w:rsid w:val="00363D3C"/>
    <w:rsid w:val="0037646A"/>
    <w:rsid w:val="0039599A"/>
    <w:rsid w:val="003E11FF"/>
    <w:rsid w:val="00415D0D"/>
    <w:rsid w:val="00427FBE"/>
    <w:rsid w:val="00453F39"/>
    <w:rsid w:val="00461BB0"/>
    <w:rsid w:val="00473335"/>
    <w:rsid w:val="00480BA1"/>
    <w:rsid w:val="004A3071"/>
    <w:rsid w:val="004A410C"/>
    <w:rsid w:val="004A795F"/>
    <w:rsid w:val="004B3EFB"/>
    <w:rsid w:val="004B41D5"/>
    <w:rsid w:val="004B6A48"/>
    <w:rsid w:val="004C50BC"/>
    <w:rsid w:val="004F00A3"/>
    <w:rsid w:val="004F4F7F"/>
    <w:rsid w:val="004F5C36"/>
    <w:rsid w:val="004F7CD9"/>
    <w:rsid w:val="00511AC9"/>
    <w:rsid w:val="00523E21"/>
    <w:rsid w:val="005246F5"/>
    <w:rsid w:val="00533248"/>
    <w:rsid w:val="00552E0F"/>
    <w:rsid w:val="005754A8"/>
    <w:rsid w:val="005A40D6"/>
    <w:rsid w:val="005A7BDC"/>
    <w:rsid w:val="005B14F3"/>
    <w:rsid w:val="005E072A"/>
    <w:rsid w:val="005F18C6"/>
    <w:rsid w:val="005F1A2B"/>
    <w:rsid w:val="005F60F9"/>
    <w:rsid w:val="0060189A"/>
    <w:rsid w:val="0060199E"/>
    <w:rsid w:val="00612902"/>
    <w:rsid w:val="0062078F"/>
    <w:rsid w:val="00642116"/>
    <w:rsid w:val="0064358A"/>
    <w:rsid w:val="0067440D"/>
    <w:rsid w:val="006835C3"/>
    <w:rsid w:val="00692976"/>
    <w:rsid w:val="006C532A"/>
    <w:rsid w:val="006D2FFC"/>
    <w:rsid w:val="006E0276"/>
    <w:rsid w:val="006E2041"/>
    <w:rsid w:val="00720188"/>
    <w:rsid w:val="0072129D"/>
    <w:rsid w:val="00725AB4"/>
    <w:rsid w:val="007314CA"/>
    <w:rsid w:val="00762933"/>
    <w:rsid w:val="00775A6E"/>
    <w:rsid w:val="007A1AD3"/>
    <w:rsid w:val="007A28C1"/>
    <w:rsid w:val="007B4DD9"/>
    <w:rsid w:val="007D36B1"/>
    <w:rsid w:val="007D665C"/>
    <w:rsid w:val="007E079A"/>
    <w:rsid w:val="007F5A6D"/>
    <w:rsid w:val="008009CC"/>
    <w:rsid w:val="008436A8"/>
    <w:rsid w:val="00860565"/>
    <w:rsid w:val="0086350C"/>
    <w:rsid w:val="0088246A"/>
    <w:rsid w:val="00891F42"/>
    <w:rsid w:val="008A533B"/>
    <w:rsid w:val="008B61FF"/>
    <w:rsid w:val="008C7DBB"/>
    <w:rsid w:val="008F32B9"/>
    <w:rsid w:val="008F5624"/>
    <w:rsid w:val="00911FAC"/>
    <w:rsid w:val="00933C57"/>
    <w:rsid w:val="009506AE"/>
    <w:rsid w:val="009566A6"/>
    <w:rsid w:val="009719F6"/>
    <w:rsid w:val="00986389"/>
    <w:rsid w:val="00986683"/>
    <w:rsid w:val="009A6426"/>
    <w:rsid w:val="009B0B45"/>
    <w:rsid w:val="009B31DA"/>
    <w:rsid w:val="009C2AF4"/>
    <w:rsid w:val="009F2F9C"/>
    <w:rsid w:val="00A02E87"/>
    <w:rsid w:val="00A03C8B"/>
    <w:rsid w:val="00A07018"/>
    <w:rsid w:val="00A16909"/>
    <w:rsid w:val="00A24F53"/>
    <w:rsid w:val="00A273E0"/>
    <w:rsid w:val="00A33576"/>
    <w:rsid w:val="00A349E4"/>
    <w:rsid w:val="00A45F7A"/>
    <w:rsid w:val="00A5545A"/>
    <w:rsid w:val="00A6707B"/>
    <w:rsid w:val="00A719F1"/>
    <w:rsid w:val="00A91F73"/>
    <w:rsid w:val="00AA748C"/>
    <w:rsid w:val="00AB21CC"/>
    <w:rsid w:val="00AC4F40"/>
    <w:rsid w:val="00AD4EE1"/>
    <w:rsid w:val="00AD5266"/>
    <w:rsid w:val="00AD64C5"/>
    <w:rsid w:val="00B05D6F"/>
    <w:rsid w:val="00B208B5"/>
    <w:rsid w:val="00B23B5E"/>
    <w:rsid w:val="00B324FF"/>
    <w:rsid w:val="00B83DDA"/>
    <w:rsid w:val="00B87C2F"/>
    <w:rsid w:val="00B94E4E"/>
    <w:rsid w:val="00BC5BD0"/>
    <w:rsid w:val="00BD1005"/>
    <w:rsid w:val="00BD1D84"/>
    <w:rsid w:val="00BD4E81"/>
    <w:rsid w:val="00BF691A"/>
    <w:rsid w:val="00C1514A"/>
    <w:rsid w:val="00C17479"/>
    <w:rsid w:val="00C2026D"/>
    <w:rsid w:val="00C510EC"/>
    <w:rsid w:val="00C6650E"/>
    <w:rsid w:val="00C74BBC"/>
    <w:rsid w:val="00C97CF3"/>
    <w:rsid w:val="00CC2876"/>
    <w:rsid w:val="00CC4832"/>
    <w:rsid w:val="00CD0270"/>
    <w:rsid w:val="00CD3C3C"/>
    <w:rsid w:val="00CE1538"/>
    <w:rsid w:val="00D129E9"/>
    <w:rsid w:val="00D5281A"/>
    <w:rsid w:val="00D541AF"/>
    <w:rsid w:val="00D72099"/>
    <w:rsid w:val="00D74797"/>
    <w:rsid w:val="00DA132B"/>
    <w:rsid w:val="00DA7823"/>
    <w:rsid w:val="00DC47BD"/>
    <w:rsid w:val="00DD59D3"/>
    <w:rsid w:val="00DE4923"/>
    <w:rsid w:val="00DF244B"/>
    <w:rsid w:val="00E07811"/>
    <w:rsid w:val="00E14B20"/>
    <w:rsid w:val="00E32863"/>
    <w:rsid w:val="00E4427D"/>
    <w:rsid w:val="00E5559C"/>
    <w:rsid w:val="00E621EC"/>
    <w:rsid w:val="00E641BE"/>
    <w:rsid w:val="00E905B5"/>
    <w:rsid w:val="00EB2899"/>
    <w:rsid w:val="00EC41C3"/>
    <w:rsid w:val="00ED5A70"/>
    <w:rsid w:val="00ED7745"/>
    <w:rsid w:val="00EE31EC"/>
    <w:rsid w:val="00EF3FFB"/>
    <w:rsid w:val="00F0619A"/>
    <w:rsid w:val="00F11C5B"/>
    <w:rsid w:val="00F24395"/>
    <w:rsid w:val="00F25C63"/>
    <w:rsid w:val="00F3278F"/>
    <w:rsid w:val="00F35EE2"/>
    <w:rsid w:val="00F96085"/>
    <w:rsid w:val="00FB3082"/>
    <w:rsid w:val="00FB3533"/>
    <w:rsid w:val="00FD1D61"/>
    <w:rsid w:val="00FE1C89"/>
    <w:rsid w:val="00FF72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F00A3"/>
    <w:rPr>
      <w:color w:val="0000FF" w:themeColor="hyperlink"/>
      <w:u w:val="single"/>
    </w:rPr>
  </w:style>
  <w:style w:type="paragraph" w:customStyle="1" w:styleId="Default">
    <w:name w:val="Default"/>
    <w:rsid w:val="00552E0F"/>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A6707B"/>
    <w:pPr>
      <w:tabs>
        <w:tab w:val="center" w:pos="4536"/>
        <w:tab w:val="right" w:pos="9072"/>
      </w:tabs>
      <w:spacing w:after="0" w:line="240" w:lineRule="auto"/>
    </w:pPr>
  </w:style>
  <w:style w:type="character" w:customStyle="1" w:styleId="En-tteCar">
    <w:name w:val="En-tête Car"/>
    <w:basedOn w:val="Policepardfaut"/>
    <w:link w:val="En-tte"/>
    <w:uiPriority w:val="99"/>
    <w:rsid w:val="00A6707B"/>
  </w:style>
  <w:style w:type="paragraph" w:styleId="Pieddepage">
    <w:name w:val="footer"/>
    <w:basedOn w:val="Normal"/>
    <w:link w:val="PieddepageCar"/>
    <w:uiPriority w:val="99"/>
    <w:unhideWhenUsed/>
    <w:rsid w:val="00A670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07B"/>
  </w:style>
  <w:style w:type="character" w:styleId="Marquedecommentaire">
    <w:name w:val="annotation reference"/>
    <w:basedOn w:val="Policepardfaut"/>
    <w:uiPriority w:val="99"/>
    <w:semiHidden/>
    <w:unhideWhenUsed/>
    <w:rsid w:val="00ED7745"/>
    <w:rPr>
      <w:sz w:val="16"/>
      <w:szCs w:val="16"/>
    </w:rPr>
  </w:style>
  <w:style w:type="paragraph" w:styleId="Commentaire">
    <w:name w:val="annotation text"/>
    <w:basedOn w:val="Normal"/>
    <w:link w:val="CommentaireCar"/>
    <w:uiPriority w:val="99"/>
    <w:semiHidden/>
    <w:unhideWhenUsed/>
    <w:rsid w:val="00ED7745"/>
    <w:pPr>
      <w:spacing w:line="240" w:lineRule="auto"/>
    </w:pPr>
    <w:rPr>
      <w:sz w:val="20"/>
      <w:szCs w:val="20"/>
    </w:rPr>
  </w:style>
  <w:style w:type="character" w:customStyle="1" w:styleId="CommentaireCar">
    <w:name w:val="Commentaire Car"/>
    <w:basedOn w:val="Policepardfaut"/>
    <w:link w:val="Commentaire"/>
    <w:uiPriority w:val="99"/>
    <w:semiHidden/>
    <w:rsid w:val="00ED7745"/>
    <w:rPr>
      <w:sz w:val="20"/>
      <w:szCs w:val="20"/>
    </w:rPr>
  </w:style>
  <w:style w:type="paragraph" w:styleId="Objetducommentaire">
    <w:name w:val="annotation subject"/>
    <w:basedOn w:val="Commentaire"/>
    <w:next w:val="Commentaire"/>
    <w:link w:val="ObjetducommentaireCar"/>
    <w:uiPriority w:val="99"/>
    <w:semiHidden/>
    <w:unhideWhenUsed/>
    <w:rsid w:val="00ED7745"/>
    <w:rPr>
      <w:b/>
      <w:bCs/>
    </w:rPr>
  </w:style>
  <w:style w:type="character" w:customStyle="1" w:styleId="ObjetducommentaireCar">
    <w:name w:val="Objet du commentaire Car"/>
    <w:basedOn w:val="CommentaireCar"/>
    <w:link w:val="Objetducommentaire"/>
    <w:uiPriority w:val="99"/>
    <w:semiHidden/>
    <w:rsid w:val="00ED7745"/>
    <w:rPr>
      <w:b/>
      <w:bCs/>
      <w:sz w:val="20"/>
      <w:szCs w:val="20"/>
    </w:rPr>
  </w:style>
  <w:style w:type="paragraph" w:styleId="Textedebulles">
    <w:name w:val="Balloon Text"/>
    <w:basedOn w:val="Normal"/>
    <w:link w:val="TextedebullesCar"/>
    <w:uiPriority w:val="99"/>
    <w:semiHidden/>
    <w:unhideWhenUsed/>
    <w:rsid w:val="00ED77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7745"/>
    <w:rPr>
      <w:rFonts w:ascii="Segoe UI" w:hAnsi="Segoe UI" w:cs="Segoe UI"/>
      <w:sz w:val="18"/>
      <w:szCs w:val="18"/>
    </w:rPr>
  </w:style>
  <w:style w:type="paragraph" w:styleId="Corpsdetexte">
    <w:name w:val="Body Text"/>
    <w:basedOn w:val="Normal"/>
    <w:link w:val="CorpsdetexteCar"/>
    <w:rsid w:val="00ED5A70"/>
    <w:pPr>
      <w:spacing w:after="0" w:line="240" w:lineRule="auto"/>
      <w:ind w:right="-110"/>
      <w:jc w:val="both"/>
    </w:pPr>
    <w:rPr>
      <w:rFonts w:ascii="Arial" w:eastAsia="Times New Roman" w:hAnsi="Arial" w:cs="Times New Roman"/>
      <w:sz w:val="24"/>
      <w:szCs w:val="24"/>
      <w:lang w:eastAsia="fr-FR"/>
    </w:rPr>
  </w:style>
  <w:style w:type="character" w:customStyle="1" w:styleId="CorpsdetexteCar">
    <w:name w:val="Corps de texte Car"/>
    <w:basedOn w:val="Policepardfaut"/>
    <w:link w:val="Corpsdetexte"/>
    <w:rsid w:val="00ED5A70"/>
    <w:rPr>
      <w:rFonts w:ascii="Arial" w:eastAsia="Times New Roman" w:hAnsi="Arial" w:cs="Times New Roman"/>
      <w:sz w:val="24"/>
      <w:szCs w:val="24"/>
      <w:lang w:eastAsia="fr-FR"/>
    </w:rPr>
  </w:style>
  <w:style w:type="paragraph" w:styleId="Paragraphedeliste">
    <w:name w:val="List Paragraph"/>
    <w:basedOn w:val="Normal"/>
    <w:uiPriority w:val="34"/>
    <w:qFormat/>
    <w:rsid w:val="00FD1D61"/>
    <w:pPr>
      <w:ind w:left="720"/>
      <w:contextualSpacing/>
    </w:pPr>
  </w:style>
  <w:style w:type="character" w:customStyle="1" w:styleId="Mentionnonrsolue1">
    <w:name w:val="Mention non résolue1"/>
    <w:basedOn w:val="Policepardfaut"/>
    <w:uiPriority w:val="99"/>
    <w:semiHidden/>
    <w:unhideWhenUsed/>
    <w:rsid w:val="000B0A6E"/>
    <w:rPr>
      <w:color w:val="808080"/>
      <w:shd w:val="clear" w:color="auto" w:fill="E6E6E6"/>
    </w:rPr>
  </w:style>
  <w:style w:type="paragraph" w:styleId="Notedebasdepage">
    <w:name w:val="footnote text"/>
    <w:basedOn w:val="Normal"/>
    <w:link w:val="NotedebasdepageCar"/>
    <w:uiPriority w:val="99"/>
    <w:semiHidden/>
    <w:unhideWhenUsed/>
    <w:rsid w:val="00F243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4395"/>
    <w:rPr>
      <w:sz w:val="20"/>
      <w:szCs w:val="20"/>
    </w:rPr>
  </w:style>
  <w:style w:type="character" w:styleId="Appelnotedebasdep">
    <w:name w:val="footnote reference"/>
    <w:basedOn w:val="Policepardfaut"/>
    <w:uiPriority w:val="99"/>
    <w:semiHidden/>
    <w:unhideWhenUsed/>
    <w:rsid w:val="00F24395"/>
    <w:rPr>
      <w:vertAlign w:val="superscript"/>
    </w:rPr>
  </w:style>
  <w:style w:type="paragraph" w:styleId="NormalWeb">
    <w:name w:val="Normal (Web)"/>
    <w:basedOn w:val="Normal"/>
    <w:uiPriority w:val="99"/>
    <w:semiHidden/>
    <w:unhideWhenUsed/>
    <w:rsid w:val="00DE492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43131">
      <w:bodyDiv w:val="1"/>
      <w:marLeft w:val="0"/>
      <w:marRight w:val="0"/>
      <w:marTop w:val="0"/>
      <w:marBottom w:val="0"/>
      <w:divBdr>
        <w:top w:val="none" w:sz="0" w:space="0" w:color="auto"/>
        <w:left w:val="none" w:sz="0" w:space="0" w:color="auto"/>
        <w:bottom w:val="none" w:sz="0" w:space="0" w:color="auto"/>
        <w:right w:val="none" w:sz="0" w:space="0" w:color="auto"/>
      </w:divBdr>
      <w:divsChild>
        <w:div w:id="1782872654">
          <w:marLeft w:val="2520"/>
          <w:marRight w:val="0"/>
          <w:marTop w:val="100"/>
          <w:marBottom w:val="0"/>
          <w:divBdr>
            <w:top w:val="none" w:sz="0" w:space="0" w:color="auto"/>
            <w:left w:val="none" w:sz="0" w:space="0" w:color="auto"/>
            <w:bottom w:val="none" w:sz="0" w:space="0" w:color="auto"/>
            <w:right w:val="none" w:sz="0" w:space="0" w:color="auto"/>
          </w:divBdr>
        </w:div>
      </w:divsChild>
    </w:div>
    <w:div w:id="941840979">
      <w:bodyDiv w:val="1"/>
      <w:marLeft w:val="0"/>
      <w:marRight w:val="0"/>
      <w:marTop w:val="0"/>
      <w:marBottom w:val="0"/>
      <w:divBdr>
        <w:top w:val="none" w:sz="0" w:space="0" w:color="auto"/>
        <w:left w:val="none" w:sz="0" w:space="0" w:color="auto"/>
        <w:bottom w:val="none" w:sz="0" w:space="0" w:color="auto"/>
        <w:right w:val="none" w:sz="0" w:space="0" w:color="auto"/>
      </w:divBdr>
    </w:div>
    <w:div w:id="1569270848">
      <w:bodyDiv w:val="1"/>
      <w:marLeft w:val="0"/>
      <w:marRight w:val="0"/>
      <w:marTop w:val="0"/>
      <w:marBottom w:val="0"/>
      <w:divBdr>
        <w:top w:val="none" w:sz="0" w:space="0" w:color="auto"/>
        <w:left w:val="none" w:sz="0" w:space="0" w:color="auto"/>
        <w:bottom w:val="none" w:sz="0" w:space="0" w:color="auto"/>
        <w:right w:val="none" w:sz="0" w:space="0" w:color="auto"/>
      </w:divBdr>
      <w:divsChild>
        <w:div w:id="348608564">
          <w:marLeft w:val="2520"/>
          <w:marRight w:val="0"/>
          <w:marTop w:val="100"/>
          <w:marBottom w:val="0"/>
          <w:divBdr>
            <w:top w:val="none" w:sz="0" w:space="0" w:color="auto"/>
            <w:left w:val="none" w:sz="0" w:space="0" w:color="auto"/>
            <w:bottom w:val="none" w:sz="0" w:space="0" w:color="auto"/>
            <w:right w:val="none" w:sz="0" w:space="0" w:color="auto"/>
          </w:divBdr>
        </w:div>
      </w:divsChild>
    </w:div>
    <w:div w:id="17684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FBBE-5651-49F5-B0F2-6B11F57A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6480</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2018-05-29T19:13:00Z</dcterms:created>
  <dcterms:modified xsi:type="dcterms:W3CDTF">2018-05-30T08:51:00Z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UFAAvEwl4JN4QvyPbl+RD23AxAN0lTSRWazQzwi5kZ3g9tFD0n2oLMSeK9VJyzqt1yi5ZZKNbILevETK
b4b1pkQauZ4+9CkmRrdY4M4Y8tVHmdQlVq9nSWyChMISjsgVEjcj+R6GNahlPV4j/+IBOCLIljp4
iiOVoPK6iGBKHnRdWsYrtg7XWdjywSuE4eYlurP1wCPushKrBBqbIBrpk/92cTOgMdkErSn70rR0
K+P1KOojVu9fKohmp</vt:lpwstr>
  </property>
  <property fmtid="{D5CDD505-2E9C-101B-9397-08002B2CF9AE}" pid="3" name="MAIL_MSG_ID2">
    <vt:lpwstr>KZGOQ6mMlNyLUjXwo+VJX6Ng0Q5UIM55992DAYsc27MteWKmdPbXk2xKGUx
g1laieQ/SMEOwJZrRn0CHAylKRY=</vt:lpwstr>
  </property>
  <property fmtid="{D5CDD505-2E9C-101B-9397-08002B2CF9AE}" pid="4" name="RESPONSE_SENDER_NAME">
    <vt:lpwstr>sAAA4E8dREqJqIq3ZcJbHDn5ZPonHpcunx4ShhafyfCaB3Y=</vt:lpwstr>
  </property>
  <property fmtid="{D5CDD505-2E9C-101B-9397-08002B2CF9AE}" pid="5" name="EMAIL_OWNER_ADDRESS">
    <vt:lpwstr>ABAAJXrvhtoYpC5eaKXcwyhnr4jdwoHAiwN58gXiU/KKmh2wp6IBw+Oac9gH8egcXTLV</vt:lpwstr>
  </property>
  <property fmtid="{D5CDD505-2E9C-101B-9397-08002B2CF9AE}" pid="6" name="WS_TRACKING_ID">
    <vt:lpwstr>66864c46-e98d-42dc-a8e7-11fdc326c764</vt:lpwstr>
  </property>
</Properties>
</file>